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Calibri" w:cs="Calibri" w:eastAsia="Calibri" w:hAnsi="Calibri"/>
          <w:b w:val="1"/>
          <w:smallCap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Calibri" w:cs="Calibri" w:eastAsia="Calibri" w:hAnsi="Calibri"/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rFonts w:ascii="Calibri" w:cs="Calibri" w:eastAsia="Calibri" w:hAnsi="Calibri"/>
          <w:b w:val="1"/>
          <w:smallCaps w:val="1"/>
        </w:rPr>
      </w:pPr>
      <w:r w:rsidDel="00000000" w:rsidR="00000000" w:rsidRPr="00000000">
        <w:rPr>
          <w:rFonts w:ascii="Calibri" w:cs="Calibri" w:eastAsia="Calibri" w:hAnsi="Calibri"/>
          <w:b w:val="1"/>
          <w:smallCaps w:val="1"/>
          <w:rtl w:val="0"/>
        </w:rPr>
        <w:t xml:space="preserve">REGULAMIN RADY INWESTYCYJNEJ</w:t>
      </w:r>
    </w:p>
    <w:p w:rsidR="00000000" w:rsidDel="00000000" w:rsidP="00000000" w:rsidRDefault="00000000" w:rsidRPr="00000000" w14:paraId="00000005">
      <w:pPr>
        <w:jc w:val="center"/>
        <w:rPr>
          <w:rFonts w:ascii="Calibri" w:cs="Calibri" w:eastAsia="Calibri" w:hAnsi="Calibri"/>
          <w:b w:val="1"/>
          <w:smallCaps w:val="1"/>
        </w:rPr>
      </w:pPr>
      <w:bookmarkStart w:colFirst="0" w:colLast="0" w:name="_heading=h.gjdgxs" w:id="0"/>
      <w:bookmarkEnd w:id="0"/>
      <w:r w:rsidDel="00000000" w:rsidR="00000000" w:rsidRPr="00000000">
        <w:rPr>
          <w:rFonts w:ascii="Calibri" w:cs="Calibri" w:eastAsia="Calibri" w:hAnsi="Calibri"/>
          <w:b w:val="1"/>
          <w:smallCaps w:val="1"/>
          <w:rtl w:val="0"/>
        </w:rPr>
        <w:t xml:space="preserve"> W RAMACH PROJEKTU  „INKUBATOR ROZWOJU”  „Science4Business - Nauka dla Biznesu”</w:t>
      </w:r>
    </w:p>
    <w:p w:rsidR="00000000" w:rsidDel="00000000" w:rsidP="00000000" w:rsidRDefault="00000000" w:rsidRPr="00000000" w14:paraId="00000006">
      <w:pPr>
        <w:jc w:val="center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both"/>
        <w:rPr>
          <w:rFonts w:ascii="Calibri" w:cs="Calibri" w:eastAsia="Calibri" w:hAnsi="Calibri"/>
          <w:smallCaps w:val="1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Lider Konsorcjum Uniwersytet SWPS w Warszawie na podstawie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§ 3 ust. 1 lit. c Umowy Konsorcjum z dnia 17.05.2024 r. zawartej pomiędzy Uniwersytetem SWPS w Warszawie a Parkiem Naukowo-Technologicznym Uniwersytetu Zielonogórskiego Sp. z o.o., Szkołą Główną Gospodarstwa Wiejskiego w Warszawie, Wojskową Akademią Techniczną im. Jarosława Dąbrowskiego w Warszawie ustala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Regulamin Rady Inwestycyjnej  w ramach zadania nr 1 „Inkubator Rozwoju” Projektu niekonkurencyjnego pn. „Science4Business – Nauka dla biznesu” dofinansowanego ze środków Unii Europejskiej w ramach Programu „Fundusze Europejskie dla Nowoczesnej Gospodarki na lata 2021-2027”.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center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center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§ 1.</w:t>
      </w:r>
    </w:p>
    <w:p w:rsidR="00000000" w:rsidDel="00000000" w:rsidP="00000000" w:rsidRDefault="00000000" w:rsidRPr="00000000" w14:paraId="0000000A">
      <w:pPr>
        <w:jc w:val="center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Postanowienia ogólne</w:t>
      </w:r>
    </w:p>
    <w:p w:rsidR="00000000" w:rsidDel="00000000" w:rsidP="00000000" w:rsidRDefault="00000000" w:rsidRPr="00000000" w14:paraId="0000000B">
      <w:pPr>
        <w:jc w:val="center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Pojęcia używane w Regulaminie Rady Inwestycyjnej w ramach projektu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“Inkubator Rozwoju”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„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Science4Business - Nauka dla Biznesu”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, zwanym dalej „Regulaminem Rady”, mają znaczenie nadane im w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§ 1 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„Regulaminu uczestnictwa w konkursie o przyznanie grantu na prace przedwdrożeniowe w ramach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zadania nr 1 „Inkubator Rozwoju” Projektu niekonkurencyjnego pn. „Science4Business – Nauka dla biznesu” dofinansowanego ze środków Unii Europejskiej w ramach Programu „Fundusze Europejskie dla Nowoczesnej Gospodarki na lata 2021-2027”.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ind w:left="426" w:firstLine="0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center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§ 2.</w:t>
      </w:r>
    </w:p>
    <w:p w:rsidR="00000000" w:rsidDel="00000000" w:rsidP="00000000" w:rsidRDefault="00000000" w:rsidRPr="00000000" w14:paraId="0000000F">
      <w:pPr>
        <w:jc w:val="center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center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Powołanie, skład i organizacja pracy Rady </w:t>
      </w:r>
    </w:p>
    <w:p w:rsidR="00000000" w:rsidDel="00000000" w:rsidP="00000000" w:rsidRDefault="00000000" w:rsidRPr="00000000" w14:paraId="00000011">
      <w:pPr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ind w:left="426" w:hanging="426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Rada Inwestycyjna (zwana dalej „Radą”), powoływana jest wspólnie przez Uniwersytet SWPS, PNT, SGGW oraz WAT. Każdy członek konsorcjum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, będzie odpowiedzialny za organizację i dokumentowanie prac Rady w ramach  procesów oceny merytorycznej wniosków o dofinansowanie grantów przez danego członka konsorcjum.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ind w:left="426" w:hanging="426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Rada składa się z 8 członków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 lub członkiń</w:t>
      </w: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. 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ind w:left="426" w:hanging="426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W skład Rady wchodzą:</w:t>
      </w:r>
    </w:p>
    <w:p w:rsidR="00000000" w:rsidDel="00000000" w:rsidP="00000000" w:rsidRDefault="00000000" w:rsidRPr="00000000" w14:paraId="00000015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ind w:left="851" w:hanging="426"/>
        <w:jc w:val="both"/>
        <w:rPr>
          <w:rFonts w:ascii="Calibri" w:cs="Calibri" w:eastAsia="Calibri" w:hAnsi="Calibri"/>
          <w:sz w:val="22"/>
          <w:szCs w:val="22"/>
          <w:u w:val="none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dwóch członków lub członkiń powołanych przez Uniwersytet SWPS;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ind w:left="851" w:hanging="426"/>
        <w:jc w:val="both"/>
        <w:rPr>
          <w:rFonts w:ascii="Calibri" w:cs="Calibri" w:eastAsia="Calibri" w:hAnsi="Calibri"/>
          <w:sz w:val="22"/>
          <w:szCs w:val="22"/>
          <w:u w:val="none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dwóch członków lub członkiń powołanych przez PNT;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ind w:left="851" w:hanging="426"/>
        <w:jc w:val="both"/>
        <w:rPr>
          <w:rFonts w:ascii="Calibri" w:cs="Calibri" w:eastAsia="Calibri" w:hAnsi="Calibri"/>
          <w:sz w:val="22"/>
          <w:szCs w:val="22"/>
          <w:u w:val="none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dwóch członków lub członkiń powołanych przez SGGW;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ind w:left="851" w:hanging="426"/>
        <w:jc w:val="both"/>
        <w:rPr>
          <w:rFonts w:ascii="Calibri" w:cs="Calibri" w:eastAsia="Calibri" w:hAnsi="Calibri"/>
          <w:sz w:val="22"/>
          <w:szCs w:val="22"/>
          <w:u w:val="none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dwóch członków lub członkiń powołanych przez WAT.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ind w:left="426" w:hanging="426"/>
        <w:jc w:val="both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Trzech członków lub członkiń Rady pochodzi z otoczenia naukowego, pięciu członków lub członkiń Rady z otoczenia biznesowego.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ind w:left="426" w:hanging="426"/>
        <w:jc w:val="both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Grantodawca 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zapewnia, w miarę możliwości, równy udział w Radzie kobiet i mężczyzn.</w:t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ind w:left="426" w:hanging="426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Kadencja Rady trwa od dnia powołania członków 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lub członkiń</w:t>
      </w: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 Rady do dnia 31 grudnia 20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28</w:t>
      </w: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 roku.</w:t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ind w:left="426" w:hanging="426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Każdy Konsorcjant w ramach oceny merytorycznej wniosków w ramach swojego podmiotu wyznacza Sekretarza, odpowiedzialnego za dokumentowanie pracy i zapewnienie obsługi organizacyjnej członków lub członkiń Rady wyznaczonych przez danego Konsorcjanta. Sekretarz nie może być członkiem lub członkinią Rady.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ind w:left="426" w:hanging="426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Posiedzenia Rady będą zwoływane w razie zaistnienia takiej potrzeby, w tym na wniosek Przedstawiciela PNT, SGGW,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 Uniwersytetu</w:t>
      </w: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 SWPS lub WAT.</w:t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ind w:left="426" w:hanging="426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Posiedzenia Rady zwoływane są Rady za pośrednictwem poczty elektronicznej co najmniej 5 dni przed planowanym terminem posiedzenia.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ind w:left="426" w:hanging="426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Członkowie i 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członkinie</w:t>
      </w: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 Rady mogą uczestniczyć w jej posiedzeniach 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w trybie obiegowym, zdalnym lub hybrydowym</w:t>
      </w: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, tj. za pomocą urządzeń technicznych umożliwiających bezpośrednie przekazywanie obrazu i/lub dźwięku.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ind w:left="426" w:hanging="426"/>
        <w:jc w:val="both"/>
        <w:rPr>
          <w:rFonts w:ascii="Calibri" w:cs="Calibri" w:eastAsia="Calibri" w:hAnsi="Calibri"/>
          <w:sz w:val="22"/>
          <w:szCs w:val="22"/>
          <w:u w:val="none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Na podstawie ocen wniosków dokonanych przez członków i członkinie Rady zostaje 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utworzona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 lista rankingowa wniosków, która zostaje przyjęta w głosowaniu zwykłą większością głosów w obecności co najmniej 5/8 Rady uprawnionych do 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głosowania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. Głosowanie może mieć formę obiegową - wówczas głosy poszczególnych członkiń i członków Rady będą przyjmowane w formie oświadczeń e-mailowych.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ind w:left="426" w:hanging="426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Za prawidłowe dokumentowanie przebiegu czynności podejmowanych przez Radę odpowiada Sekretarz Rady (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wyznaczony przez konsorcjanta, którego wnioski o granty są oceniane</w:t>
      </w: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), w tym za sporządzenie protokołu z 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oceny</w:t>
      </w: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, który jest podpisywany przez 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osobę uprawnioną do reprezentacji Organizatora konkursu</w:t>
      </w: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.</w:t>
      </w:r>
    </w:p>
    <w:p w:rsidR="00000000" w:rsidDel="00000000" w:rsidP="00000000" w:rsidRDefault="00000000" w:rsidRPr="00000000" w14:paraId="00000022">
      <w:pPr>
        <w:jc w:val="center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§ 3.</w:t>
      </w:r>
    </w:p>
    <w:p w:rsidR="00000000" w:rsidDel="00000000" w:rsidP="00000000" w:rsidRDefault="00000000" w:rsidRPr="00000000" w14:paraId="00000023">
      <w:pPr>
        <w:jc w:val="center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Kompetencje Rady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ind w:left="426" w:hanging="426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bookmarkStart w:colFirst="0" w:colLast="0" w:name="_heading=h.rzct1g3rebp8" w:id="1"/>
      <w:bookmarkEnd w:id="1"/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Do kompetencji Rady należy monitorowanie i ewaluacja działań realizowanych w ramach Projektu oraz ocena merytoryczna Wniosków zgłoszonych w Konkursie i 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akceptacja </w:t>
      </w: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list rankingow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ych</w:t>
      </w: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 Wniosków prac B+R rekomendowanych do przyznania Grantu, zgodnie z Regulaminem.</w:t>
      </w:r>
    </w:p>
    <w:p w:rsidR="00000000" w:rsidDel="00000000" w:rsidP="00000000" w:rsidRDefault="00000000" w:rsidRPr="00000000" w14:paraId="00000025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ind w:left="426" w:hanging="426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Sekretarz </w:t>
      </w: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Rady przesyła członkom i członkiniom Rady Wnioski drogą elektroniczną lub udostępnia je elektronicznie w sposób zapewniający bezpieczeństwo danych. Każdy z Wniosków oceniany jest przez co najmniej pięciu członków lub członkinie Rady.</w:t>
      </w:r>
    </w:p>
    <w:p w:rsidR="00000000" w:rsidDel="00000000" w:rsidP="00000000" w:rsidRDefault="00000000" w:rsidRPr="00000000" w14:paraId="00000026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ind w:left="426" w:hanging="360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Każdy człone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k i członkini</w:t>
      </w: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 Rady w ramach oceny Wniosku, w szczególności w celu wyjaśnienia wątpliwości dotyczących treści Wniosku, może zgłosić 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Sekretarzowi </w:t>
      </w: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 prośbę o dokonanie prezentacji przez Grantobiorcę na temat zgłoszonego rozwiązania. Jeśli z jakichkolwiek przyczyn nie dojdzie do prezentacji, Rada oceni Wniosek wyłącznie na podstawie jego treści. </w:t>
      </w:r>
    </w:p>
    <w:p w:rsidR="00000000" w:rsidDel="00000000" w:rsidP="00000000" w:rsidRDefault="00000000" w:rsidRPr="00000000" w14:paraId="00000027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ind w:left="426" w:hanging="360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Członkowie i członkinie Rady dokonują oceny poszczególnych Wniosków na odrębnych kartach oceny merytorycznej Wniosku. Wzór karty oceny merytorycznej Wniosku stanowi załącznik nr 4 do Regulaminu. Członkowie i członkinie Rady, którzy nie mogą uczestniczyć w posiedzeniu Rady, podczas którego będzie dokonywana ostateczna ocena Wniosków, przesyłają skany wypełnionych kart oceny merytorycznej 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Sekretarzowi </w:t>
      </w: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za pomocą poczty elektronicznej nie później niż na jeden dzień przed datą posiedzenia Rady.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 Kworum ustala się w wysokości 5 / 8 głosów członków lub członkiń Rady.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ind w:left="426" w:hanging="426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Na podstawie ocen danego Wniosku, Rada może rekomendować zmniejszenie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 lub zwiększenie</w:t>
      </w: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 kwoty Grantu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, jednakże ostateczna wersja budżetu jest zatwierdzana przez Zespół Projektowy danego Konsorcjanta.</w:t>
      </w: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029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ind w:left="426" w:hanging="426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Na podstawie ocen poszczególnych członków i członkiń Rady, Rada tworzy listę rankingową Wniosków 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rekomendowanych do dofinansowania wraz z wysokością rekomendowanego dofinansowania dla każdego Wniosku</w:t>
      </w: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. </w:t>
      </w:r>
    </w:p>
    <w:p w:rsidR="00000000" w:rsidDel="00000000" w:rsidP="00000000" w:rsidRDefault="00000000" w:rsidRPr="00000000" w14:paraId="0000002A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ind w:left="426" w:hanging="426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W ramach realizacji procesu oceny Wniosków, Rada może także udzielać konsultacji pracownikom 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CTT SGGW, </w:t>
      </w: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CTT WAT, CTW i PNT, w szczególności w zakresie badania potencjału rynkowego własności intelektualnej.</w:t>
      </w:r>
    </w:p>
    <w:p w:rsidR="00000000" w:rsidDel="00000000" w:rsidP="00000000" w:rsidRDefault="00000000" w:rsidRPr="00000000" w14:paraId="0000002B">
      <w:pPr>
        <w:numPr>
          <w:ilvl w:val="0"/>
          <w:numId w:val="3"/>
        </w:numPr>
        <w:spacing w:line="276" w:lineRule="auto"/>
        <w:ind w:left="360" w:hanging="360"/>
        <w:jc w:val="both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Zmiana wysokości budżetu do 20% wartości grantu w trakcie realizacji projektu nie wymaga akceptacji Rady i wystarczające jest zatwierdzenie zmiany przez Zespół Projektowy danego Konsorcjanta.</w:t>
      </w:r>
    </w:p>
    <w:p w:rsidR="00000000" w:rsidDel="00000000" w:rsidP="00000000" w:rsidRDefault="00000000" w:rsidRPr="00000000" w14:paraId="0000002C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ind w:left="426" w:hanging="426"/>
        <w:jc w:val="both"/>
        <w:rPr>
          <w:rFonts w:ascii="Calibri" w:cs="Calibri" w:eastAsia="Calibri" w:hAnsi="Calibri"/>
          <w:sz w:val="22"/>
          <w:szCs w:val="22"/>
          <w:u w:val="none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Wspólna Rada, pracująca z udziałem przedstawicieli Konsorcjantów, będzie dodatkowo integrować i katalizować współpracę w ramach konsorcjum.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ind w:left="426" w:firstLine="0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jc w:val="center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§ 4.</w:t>
      </w:r>
    </w:p>
    <w:p w:rsidR="00000000" w:rsidDel="00000000" w:rsidP="00000000" w:rsidRDefault="00000000" w:rsidRPr="00000000" w14:paraId="0000002F">
      <w:pPr>
        <w:jc w:val="center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Dokumentowanie prac Rady</w:t>
      </w:r>
    </w:p>
    <w:p w:rsidR="00000000" w:rsidDel="00000000" w:rsidP="00000000" w:rsidRDefault="00000000" w:rsidRPr="00000000" w14:paraId="00000030">
      <w:pPr>
        <w:jc w:val="center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ind w:left="426" w:hanging="426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Z posiedzenia Rady, sporządza się protokół, który zawiera co najmniej: </w:t>
      </w:r>
    </w:p>
    <w:p w:rsidR="00000000" w:rsidDel="00000000" w:rsidP="00000000" w:rsidRDefault="00000000" w:rsidRPr="00000000" w14:paraId="00000032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ind w:left="851" w:hanging="426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informację o terminie posiedzenia Rady; </w:t>
      </w:r>
    </w:p>
    <w:p w:rsidR="00000000" w:rsidDel="00000000" w:rsidP="00000000" w:rsidRDefault="00000000" w:rsidRPr="00000000" w14:paraId="00000033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ind w:left="851" w:hanging="426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listę osób uczestniczących w posiedzeniu Rady;</w:t>
      </w:r>
    </w:p>
    <w:p w:rsidR="00000000" w:rsidDel="00000000" w:rsidP="00000000" w:rsidRDefault="00000000" w:rsidRPr="00000000" w14:paraId="00000034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ind w:left="851" w:hanging="426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listę Wniosków podlegających ocenie;</w:t>
      </w:r>
    </w:p>
    <w:p w:rsidR="00000000" w:rsidDel="00000000" w:rsidP="00000000" w:rsidRDefault="00000000" w:rsidRPr="00000000" w14:paraId="00000035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ind w:left="851" w:hanging="426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informację o wyniku oceny poszczególnych Wniosków.</w:t>
      </w:r>
    </w:p>
    <w:p w:rsidR="00000000" w:rsidDel="00000000" w:rsidP="00000000" w:rsidRDefault="00000000" w:rsidRPr="00000000" w14:paraId="00000036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200" w:line="276" w:lineRule="auto"/>
        <w:ind w:left="426" w:hanging="426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Do protokołu załącza się listy rankingowe Wniosków, wypełnione karty oceny merytorycznej Wniosków lub podjęte uchwały oraz udzielona informacja zwrotna dla 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Wnioskodawcy.</w:t>
      </w: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.</w:t>
      </w:r>
    </w:p>
    <w:p w:rsidR="00000000" w:rsidDel="00000000" w:rsidP="00000000" w:rsidRDefault="00000000" w:rsidRPr="00000000" w14:paraId="00000037">
      <w:pPr>
        <w:jc w:val="center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§ 5.</w:t>
      </w:r>
    </w:p>
    <w:p w:rsidR="00000000" w:rsidDel="00000000" w:rsidP="00000000" w:rsidRDefault="00000000" w:rsidRPr="00000000" w14:paraId="00000038">
      <w:pPr>
        <w:jc w:val="center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Poufność informacji</w:t>
      </w:r>
    </w:p>
    <w:p w:rsidR="00000000" w:rsidDel="00000000" w:rsidP="00000000" w:rsidRDefault="00000000" w:rsidRPr="00000000" w14:paraId="00000039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ind w:left="426" w:hanging="426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Członkowie i członkinie Rady są zobowiązani do zachowania bezstronności i obiektywizmu, a także zachowania poufności danych i informacji zawartych we wnioskach oraz wszystkich informacji i dokumentów ujawnionych im lub wytworzonych przez nich lub przygotowanych przez nich w trakcie lub jako rezultat oceny wniosków i zgadzają się, że informacje te powinny być użyte tylko dla celów niniejszej oceny i nie mogą zostać ujawnione stronom trzecim. </w:t>
      </w:r>
    </w:p>
    <w:p w:rsidR="00000000" w:rsidDel="00000000" w:rsidP="00000000" w:rsidRDefault="00000000" w:rsidRPr="00000000" w14:paraId="0000003B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ind w:left="426" w:hanging="426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Członkowie i członkinie Rady nie będą zatrzymywać kopii jakichkolwiek pisemnych lub elektronicznych informacji lub dokumentów związanych z ocenianymi wnioskami. </w:t>
      </w:r>
    </w:p>
    <w:p w:rsidR="00000000" w:rsidDel="00000000" w:rsidP="00000000" w:rsidRDefault="00000000" w:rsidRPr="00000000" w14:paraId="0000003C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ind w:left="426" w:hanging="426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Zobowiązanie do zachowania poufności prac Rady obowiązuje przez 10 lat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 i</w:t>
      </w: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i w szczególności dotyczy informacji i dokumentów, które stanowią tajemnice wynikające z przepisów prawa powszechnie obowiązującego.</w:t>
      </w:r>
    </w:p>
    <w:p w:rsidR="00000000" w:rsidDel="00000000" w:rsidP="00000000" w:rsidRDefault="00000000" w:rsidRPr="00000000" w14:paraId="0000003D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200" w:line="276" w:lineRule="auto"/>
        <w:ind w:left="426" w:hanging="426"/>
        <w:jc w:val="both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W przypadku naruszenia postanowień niniejszego Regulaminu Rady przez członka lub członkinię Rady może zostać on odwołany. W jego miejsce może być powołany inny kandydat. Ponadto w przypadku wyrządzenia przez członk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a i członkini</w:t>
      </w: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 Rady szkody na rzecz Uniwersytetu SWPS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, </w:t>
      </w: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WAT, 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PNT lub SGGW</w:t>
      </w: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 członek i człon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kini</w:t>
      </w: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 Rady ponosi odpowiedzialność cywilną na zasadach ogólnych.</w:t>
      </w:r>
    </w:p>
    <w:p w:rsidR="00000000" w:rsidDel="00000000" w:rsidP="00000000" w:rsidRDefault="00000000" w:rsidRPr="00000000" w14:paraId="0000003E">
      <w:pPr>
        <w:spacing w:line="276" w:lineRule="auto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after="160" w:line="259" w:lineRule="auto"/>
        <w:rPr>
          <w:rFonts w:ascii="Calibri" w:cs="Calibri" w:eastAsia="Calibri" w:hAnsi="Calibri"/>
        </w:rPr>
      </w:pPr>
      <w:bookmarkStart w:colFirst="0" w:colLast="0" w:name="_heading=h.30j0zll" w:id="2"/>
      <w:bookmarkEnd w:id="2"/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8" w:w="11906" w:orient="portrait"/>
      <w:pgMar w:bottom="1417" w:top="1417" w:left="1700.7874015748032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1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jc w:val="center"/>
      <w:rPr>
        <w:color w:val="000000"/>
      </w:rPr>
    </w:pPr>
    <w:r w:rsidDel="00000000" w:rsidR="00000000" w:rsidRPr="00000000">
      <w:rPr/>
      <w:drawing>
        <wp:inline distB="114300" distT="114300" distL="114300" distR="114300">
          <wp:extent cx="5760410" cy="571500"/>
          <wp:effectExtent b="0" l="0" r="0" t="0"/>
          <wp:docPr id="4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760410" cy="5715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">
    <w:lvl w:ilvl="0">
      <w:start w:val="1"/>
      <w:numFmt w:val="decimal"/>
      <w:lvlText w:val="%1)"/>
      <w:lvlJc w:val="left"/>
      <w:pPr>
        <w:ind w:left="1080" w:hanging="360"/>
      </w:pPr>
      <w:rPr/>
    </w:lvl>
    <w:lvl w:ilvl="1">
      <w:start w:val="1"/>
      <w:numFmt w:val="lowerLetter"/>
      <w:lvlText w:val="%2."/>
      <w:lvlJc w:val="left"/>
      <w:pPr>
        <w:ind w:left="1800" w:hanging="360"/>
      </w:pPr>
      <w:rPr/>
    </w:lvl>
    <w:lvl w:ilvl="2">
      <w:start w:val="1"/>
      <w:numFmt w:val="lowerRoman"/>
      <w:lvlText w:val="%3."/>
      <w:lvlJc w:val="right"/>
      <w:pPr>
        <w:ind w:left="2520" w:hanging="180"/>
      </w:pPr>
      <w:rPr/>
    </w:lvl>
    <w:lvl w:ilvl="3">
      <w:start w:val="1"/>
      <w:numFmt w:val="decimal"/>
      <w:lvlText w:val="%4."/>
      <w:lvlJc w:val="left"/>
      <w:pPr>
        <w:ind w:left="3240" w:hanging="360"/>
      </w:pPr>
      <w:rPr/>
    </w:lvl>
    <w:lvl w:ilvl="4">
      <w:start w:val="1"/>
      <w:numFmt w:val="lowerLetter"/>
      <w:lvlText w:val="%5."/>
      <w:lvlJc w:val="left"/>
      <w:pPr>
        <w:ind w:left="3960" w:hanging="360"/>
      </w:pPr>
      <w:rPr/>
    </w:lvl>
    <w:lvl w:ilvl="5">
      <w:start w:val="1"/>
      <w:numFmt w:val="lowerRoman"/>
      <w:lvlText w:val="%6."/>
      <w:lvlJc w:val="right"/>
      <w:pPr>
        <w:ind w:left="4680" w:hanging="180"/>
      </w:pPr>
      <w:rPr/>
    </w:lvl>
    <w:lvl w:ilvl="6">
      <w:start w:val="1"/>
      <w:numFmt w:val="decimal"/>
      <w:lvlText w:val="%7."/>
      <w:lvlJc w:val="left"/>
      <w:pPr>
        <w:ind w:left="5400" w:hanging="360"/>
      </w:pPr>
      <w:rPr/>
    </w:lvl>
    <w:lvl w:ilvl="7">
      <w:start w:val="1"/>
      <w:numFmt w:val="lowerLetter"/>
      <w:lvlText w:val="%8."/>
      <w:lvlJc w:val="left"/>
      <w:pPr>
        <w:ind w:left="6120" w:hanging="360"/>
      </w:pPr>
      <w:rPr/>
    </w:lvl>
    <w:lvl w:ilvl="8">
      <w:start w:val="1"/>
      <w:numFmt w:val="lowerRoman"/>
      <w:lvlText w:val="%9."/>
      <w:lvlJc w:val="right"/>
      <w:pPr>
        <w:ind w:left="6840" w:hanging="180"/>
      </w:pPr>
      <w:rPr/>
    </w:lvl>
  </w:abstractNum>
  <w:abstractNum w:abstractNumId="3">
    <w:lvl w:ilvl="0">
      <w:start w:val="1"/>
      <w:numFmt w:val="decimal"/>
      <w:lvlText w:val="%1."/>
      <w:lvlJc w:val="left"/>
      <w:pPr>
        <w:ind w:left="36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5">
    <w:lvl w:ilvl="0">
      <w:start w:val="1"/>
      <w:numFmt w:val="decimal"/>
      <w:lvlText w:val="%1)"/>
      <w:lvlJc w:val="left"/>
      <w:pPr>
        <w:ind w:left="1080" w:hanging="360"/>
      </w:pPr>
      <w:rPr/>
    </w:lvl>
    <w:lvl w:ilvl="1">
      <w:start w:val="1"/>
      <w:numFmt w:val="lowerLetter"/>
      <w:lvlText w:val="%2."/>
      <w:lvlJc w:val="left"/>
      <w:pPr>
        <w:ind w:left="1800" w:hanging="360"/>
      </w:pPr>
      <w:rPr/>
    </w:lvl>
    <w:lvl w:ilvl="2">
      <w:start w:val="1"/>
      <w:numFmt w:val="lowerRoman"/>
      <w:lvlText w:val="%3."/>
      <w:lvlJc w:val="right"/>
      <w:pPr>
        <w:ind w:left="2520" w:hanging="180"/>
      </w:pPr>
      <w:rPr/>
    </w:lvl>
    <w:lvl w:ilvl="3">
      <w:start w:val="1"/>
      <w:numFmt w:val="decimal"/>
      <w:lvlText w:val="%4."/>
      <w:lvlJc w:val="left"/>
      <w:pPr>
        <w:ind w:left="3240" w:hanging="360"/>
      </w:pPr>
      <w:rPr/>
    </w:lvl>
    <w:lvl w:ilvl="4">
      <w:start w:val="1"/>
      <w:numFmt w:val="lowerLetter"/>
      <w:lvlText w:val="%5."/>
      <w:lvlJc w:val="left"/>
      <w:pPr>
        <w:ind w:left="3960" w:hanging="360"/>
      </w:pPr>
      <w:rPr/>
    </w:lvl>
    <w:lvl w:ilvl="5">
      <w:start w:val="1"/>
      <w:numFmt w:val="lowerRoman"/>
      <w:lvlText w:val="%6."/>
      <w:lvlJc w:val="right"/>
      <w:pPr>
        <w:ind w:left="4680" w:hanging="180"/>
      </w:pPr>
      <w:rPr/>
    </w:lvl>
    <w:lvl w:ilvl="6">
      <w:start w:val="1"/>
      <w:numFmt w:val="decimal"/>
      <w:lvlText w:val="%7."/>
      <w:lvlJc w:val="left"/>
      <w:pPr>
        <w:ind w:left="5400" w:hanging="360"/>
      </w:pPr>
      <w:rPr/>
    </w:lvl>
    <w:lvl w:ilvl="7">
      <w:start w:val="1"/>
      <w:numFmt w:val="lowerLetter"/>
      <w:lvlText w:val="%8."/>
      <w:lvlJc w:val="left"/>
      <w:pPr>
        <w:ind w:left="6120" w:hanging="360"/>
      </w:pPr>
      <w:rPr/>
    </w:lvl>
    <w:lvl w:ilvl="8">
      <w:start w:val="1"/>
      <w:numFmt w:val="lowerRoman"/>
      <w:lvlText w:val="%9."/>
      <w:lvlJc w:val="right"/>
      <w:pPr>
        <w:ind w:left="6840" w:hanging="180"/>
      </w:pPr>
      <w:rPr/>
    </w:lvl>
  </w:abstractNum>
  <w:abstractNum w:abstractNumId="6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pl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Domylnaczcionkaakapitu" w:default="1">
    <w:name w:val="Default Paragraph Font"/>
    <w:uiPriority w:val="1"/>
    <w:semiHidden w:val="1"/>
    <w:unhideWhenUsed w:val="1"/>
  </w:style>
  <w:style w:type="table" w:styleId="Standardowy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listy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Akapitzlist">
    <w:name w:val="List Paragraph"/>
    <w:basedOn w:val="Normalny"/>
    <w:uiPriority w:val="34"/>
    <w:qFormat w:val="1"/>
    <w:rsid w:val="0053614C"/>
    <w:pPr>
      <w:spacing w:after="200" w:line="276" w:lineRule="auto"/>
      <w:ind w:left="720"/>
      <w:contextualSpacing w:val="1"/>
    </w:pPr>
    <w:rPr>
      <w:rFonts w:ascii="Calibri" w:hAnsi="Calibri"/>
      <w:sz w:val="22"/>
      <w:szCs w:val="22"/>
    </w:rPr>
  </w:style>
  <w:style w:type="paragraph" w:styleId="Nagwek">
    <w:name w:val="header"/>
    <w:basedOn w:val="Normalny"/>
    <w:link w:val="NagwekZnak"/>
    <w:uiPriority w:val="99"/>
    <w:unhideWhenUsed w:val="1"/>
    <w:rsid w:val="0053614C"/>
    <w:pPr>
      <w:tabs>
        <w:tab w:val="center" w:pos="4536"/>
        <w:tab w:val="right" w:pos="9072"/>
      </w:tabs>
    </w:pPr>
  </w:style>
  <w:style w:type="character" w:styleId="NagwekZnak" w:customStyle="1">
    <w:name w:val="Nagłówek Znak"/>
    <w:basedOn w:val="Domylnaczcionkaakapitu"/>
    <w:link w:val="Nagwek"/>
    <w:uiPriority w:val="99"/>
    <w:rsid w:val="0053614C"/>
    <w:rPr>
      <w:rFonts w:ascii="Times New Roman" w:cs="Times New Roman" w:eastAsia="Calibri" w:hAnsi="Times New Roman"/>
      <w:sz w:val="24"/>
      <w:szCs w:val="20"/>
    </w:rPr>
  </w:style>
  <w:style w:type="paragraph" w:styleId="Stopka">
    <w:name w:val="footer"/>
    <w:basedOn w:val="Normalny"/>
    <w:link w:val="StopkaZnak"/>
    <w:uiPriority w:val="99"/>
    <w:unhideWhenUsed w:val="1"/>
    <w:rsid w:val="0053614C"/>
    <w:pPr>
      <w:tabs>
        <w:tab w:val="center" w:pos="4536"/>
        <w:tab w:val="right" w:pos="9072"/>
      </w:tabs>
    </w:pPr>
  </w:style>
  <w:style w:type="character" w:styleId="StopkaZnak" w:customStyle="1">
    <w:name w:val="Stopka Znak"/>
    <w:basedOn w:val="Domylnaczcionkaakapitu"/>
    <w:link w:val="Stopka"/>
    <w:uiPriority w:val="99"/>
    <w:rsid w:val="0053614C"/>
    <w:rPr>
      <w:rFonts w:ascii="Times New Roman" w:cs="Times New Roman" w:eastAsia="Calibri" w:hAnsi="Times New Roman"/>
      <w:sz w:val="24"/>
      <w:szCs w:val="20"/>
    </w:rPr>
  </w:style>
  <w:style w:type="paragraph" w:styleId="NormalnyWeb">
    <w:name w:val="Normal (Web)"/>
    <w:basedOn w:val="Normalny"/>
    <w:uiPriority w:val="99"/>
    <w:unhideWhenUsed w:val="1"/>
    <w:rsid w:val="00CB0FE3"/>
    <w:pPr>
      <w:spacing w:after="100" w:afterAutospacing="1" w:before="100" w:beforeAutospacing="1"/>
    </w:pPr>
    <w:rPr>
      <w:rFonts w:eastAsia="Times New Roman"/>
      <w:szCs w:val="24"/>
    </w:rPr>
  </w:style>
  <w:style w:type="paragraph" w:styleId="Tekstpodstawowy">
    <w:name w:val="Body Text"/>
    <w:basedOn w:val="Normalny"/>
    <w:link w:val="TekstpodstawowyZnak"/>
    <w:uiPriority w:val="99"/>
    <w:rsid w:val="00CB0FE3"/>
    <w:rPr>
      <w:rFonts w:ascii="Arial" w:cs="Arial" w:eastAsia="Times New Roman" w:hAnsi="Arial"/>
      <w:b w:val="1"/>
      <w:bCs w:val="1"/>
      <w:i w:val="1"/>
      <w:iCs w:val="1"/>
      <w:sz w:val="20"/>
      <w:lang w:val="pt-PT"/>
    </w:rPr>
  </w:style>
  <w:style w:type="character" w:styleId="TekstpodstawowyZnak" w:customStyle="1">
    <w:name w:val="Tekst podstawowy Znak"/>
    <w:basedOn w:val="Domylnaczcionkaakapitu"/>
    <w:link w:val="Tekstpodstawowy"/>
    <w:uiPriority w:val="99"/>
    <w:rsid w:val="00CB0FE3"/>
    <w:rPr>
      <w:rFonts w:ascii="Arial" w:cs="Arial" w:eastAsia="Times New Roman" w:hAnsi="Arial"/>
      <w:b w:val="1"/>
      <w:bCs w:val="1"/>
      <w:i w:val="1"/>
      <w:iCs w:val="1"/>
      <w:sz w:val="20"/>
      <w:szCs w:val="20"/>
      <w:lang w:eastAsia="pl-PL" w:val="pt-PT"/>
    </w:rPr>
  </w:style>
  <w:style w:type="paragraph" w:styleId="Tekstpodstawowy2">
    <w:name w:val="Body Text 2"/>
    <w:basedOn w:val="Normalny"/>
    <w:link w:val="Tekstpodstawowy2Znak"/>
    <w:uiPriority w:val="99"/>
    <w:rsid w:val="00CB0FE3"/>
    <w:pPr>
      <w:spacing w:line="360" w:lineRule="auto"/>
    </w:pPr>
    <w:rPr>
      <w:rFonts w:ascii="Arial" w:cs="Arial" w:eastAsia="Times New Roman" w:hAnsi="Arial"/>
      <w:b w:val="1"/>
      <w:bCs w:val="1"/>
      <w:sz w:val="20"/>
      <w:lang w:val="pt-PT"/>
    </w:rPr>
  </w:style>
  <w:style w:type="character" w:styleId="Tekstpodstawowy2Znak" w:customStyle="1">
    <w:name w:val="Tekst podstawowy 2 Znak"/>
    <w:basedOn w:val="Domylnaczcionkaakapitu"/>
    <w:link w:val="Tekstpodstawowy2"/>
    <w:uiPriority w:val="99"/>
    <w:rsid w:val="00CB0FE3"/>
    <w:rPr>
      <w:rFonts w:ascii="Arial" w:cs="Arial" w:eastAsia="Times New Roman" w:hAnsi="Arial"/>
      <w:b w:val="1"/>
      <w:bCs w:val="1"/>
      <w:sz w:val="20"/>
      <w:szCs w:val="20"/>
      <w:lang w:eastAsia="pl-PL" w:val="pt-PT"/>
    </w:rPr>
  </w:style>
  <w:style w:type="character" w:styleId="Hipercze">
    <w:name w:val="Hyperlink"/>
    <w:basedOn w:val="Domylnaczcionkaakapitu"/>
    <w:uiPriority w:val="99"/>
    <w:unhideWhenUsed w:val="1"/>
    <w:rsid w:val="00E316AE"/>
    <w:rPr>
      <w:color w:val="0563c1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 w:val="1"/>
    <w:unhideWhenUsed w:val="1"/>
    <w:rsid w:val="003C1F60"/>
    <w:rPr>
      <w:sz w:val="18"/>
      <w:szCs w:val="18"/>
    </w:rPr>
  </w:style>
  <w:style w:type="paragraph" w:styleId="Tekstkomentarza">
    <w:name w:val="annotation text"/>
    <w:basedOn w:val="Normalny"/>
    <w:link w:val="TekstkomentarzaZnak"/>
    <w:uiPriority w:val="99"/>
    <w:semiHidden w:val="1"/>
    <w:unhideWhenUsed w:val="1"/>
    <w:rsid w:val="003C1F60"/>
    <w:rPr>
      <w:szCs w:val="24"/>
    </w:rPr>
  </w:style>
  <w:style w:type="character" w:styleId="TekstkomentarzaZnak" w:customStyle="1">
    <w:name w:val="Tekst komentarza Znak"/>
    <w:basedOn w:val="Domylnaczcionkaakapitu"/>
    <w:link w:val="Tekstkomentarza"/>
    <w:uiPriority w:val="99"/>
    <w:semiHidden w:val="1"/>
    <w:rsid w:val="003C1F60"/>
    <w:rPr>
      <w:rFonts w:eastAsia="Calibri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 w:val="1"/>
    <w:unhideWhenUsed w:val="1"/>
    <w:rsid w:val="003C1F60"/>
    <w:rPr>
      <w:b w:val="1"/>
      <w:bCs w:val="1"/>
      <w:sz w:val="20"/>
      <w:szCs w:val="20"/>
    </w:rPr>
  </w:style>
  <w:style w:type="character" w:styleId="TematkomentarzaZnak" w:customStyle="1">
    <w:name w:val="Temat komentarza Znak"/>
    <w:basedOn w:val="TekstkomentarzaZnak"/>
    <w:link w:val="Tematkomentarza"/>
    <w:uiPriority w:val="99"/>
    <w:semiHidden w:val="1"/>
    <w:rsid w:val="003C1F60"/>
    <w:rPr>
      <w:rFonts w:eastAsia="Calibri"/>
      <w:b w:val="1"/>
      <w:bCs w:val="1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 w:val="1"/>
    <w:unhideWhenUsed w:val="1"/>
    <w:rsid w:val="003C1F60"/>
    <w:rPr>
      <w:sz w:val="18"/>
      <w:szCs w:val="18"/>
    </w:rPr>
  </w:style>
  <w:style w:type="character" w:styleId="TekstdymkaZnak" w:customStyle="1">
    <w:name w:val="Tekst dymka Znak"/>
    <w:basedOn w:val="Domylnaczcionkaakapitu"/>
    <w:link w:val="Tekstdymka"/>
    <w:uiPriority w:val="99"/>
    <w:semiHidden w:val="1"/>
    <w:rsid w:val="003C1F60"/>
    <w:rPr>
      <w:rFonts w:eastAsia="Calibri"/>
      <w:sz w:val="18"/>
      <w:szCs w:val="1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eYdjZmsJvU7b6jrlV4ZAaJqZ4Xg==">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2020-12-22T10:47:00Z</dcterms:created>
  <dc:creator>Iwona Gawrycka</dc:creator>
</cp:coreProperties>
</file>