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9BB08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rial" w:hAnsiTheme="majorHAnsi" w:cstheme="majorHAnsi"/>
          <w:color w:val="000000"/>
        </w:rPr>
      </w:pPr>
    </w:p>
    <w:p w14:paraId="54B8F4ED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rial" w:hAnsiTheme="majorHAnsi" w:cstheme="majorHAnsi"/>
          <w:color w:val="000000"/>
        </w:rPr>
      </w:pPr>
    </w:p>
    <w:p w14:paraId="56990BD3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rial" w:hAnsiTheme="majorHAnsi" w:cstheme="majorHAnsi"/>
          <w:color w:val="000000"/>
        </w:rPr>
      </w:pPr>
    </w:p>
    <w:p w14:paraId="03F58059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i/>
          <w:color w:val="000000"/>
        </w:rPr>
      </w:pPr>
    </w:p>
    <w:p w14:paraId="7C497FD7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i/>
          <w:color w:val="000000"/>
        </w:rPr>
      </w:pPr>
    </w:p>
    <w:p w14:paraId="2ABA4D13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95"/>
        <w:ind w:left="581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>REGULAMIN</w:t>
      </w:r>
    </w:p>
    <w:p w14:paraId="482B9005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color w:val="000000"/>
        </w:rPr>
      </w:pPr>
    </w:p>
    <w:p w14:paraId="4A40D98C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582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>KONKURSU O PRZYZNANIE GRANTU NA PRACE PRZEDWDROŻENIOWE W RAMACH PROJEKTU</w:t>
      </w:r>
    </w:p>
    <w:p w14:paraId="34E69F82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2" w:line="477" w:lineRule="auto"/>
        <w:ind w:left="582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</w:rPr>
        <w:t>„Science4Business - Nauka dla Biznesu”</w:t>
      </w:r>
    </w:p>
    <w:p w14:paraId="0E821B4A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5" w:line="480" w:lineRule="auto"/>
        <w:ind w:left="246" w:right="246" w:hanging="3"/>
        <w:jc w:val="center"/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  <w:color w:val="000000"/>
        </w:rPr>
        <w:t>REALIZOWANEGO PRZEZ UNIWERSYTET SWPS</w:t>
      </w:r>
      <w:r w:rsidRPr="00EF4DEF">
        <w:rPr>
          <w:rFonts w:asciiTheme="majorHAnsi" w:hAnsiTheme="majorHAnsi" w:cstheme="majorHAnsi"/>
        </w:rPr>
        <w:t xml:space="preserve">,  PARK NAUKOWO-TECHNOLOGICZNY UNIWERSYTETU ZIELONOGÓRSKIEGO SP. Z O.O., SZKOŁĘ GŁÓWNĄ GOSPODARSTWA WIEJSKIEGO </w:t>
      </w:r>
      <w:r w:rsidRPr="00EF4DEF">
        <w:rPr>
          <w:rFonts w:asciiTheme="majorHAnsi" w:hAnsiTheme="majorHAnsi" w:cstheme="majorHAnsi"/>
          <w:color w:val="000000"/>
        </w:rPr>
        <w:t>ORAZ WOJSKOWĄ AKADEMIĘ TECHNICZNĄ IM. JAROSŁAWA DĄBROWSKIEGO</w:t>
      </w:r>
    </w:p>
    <w:p w14:paraId="305DB04A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spacing w:before="5" w:line="480" w:lineRule="auto"/>
        <w:ind w:left="246" w:right="246" w:hanging="3"/>
        <w:jc w:val="center"/>
        <w:rPr>
          <w:rFonts w:asciiTheme="majorHAnsi" w:hAnsiTheme="majorHAnsi" w:cstheme="majorHAnsi"/>
          <w:color w:val="000000"/>
        </w:rPr>
      </w:pPr>
    </w:p>
    <w:p w14:paraId="1540C886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</w:rPr>
        <w:br w:type="page"/>
      </w:r>
    </w:p>
    <w:p w14:paraId="715974A6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57" w:line="259" w:lineRule="auto"/>
        <w:ind w:left="116" w:right="111"/>
        <w:jc w:val="both"/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</w:rPr>
        <w:lastRenderedPageBreak/>
        <w:t>Członkowie</w:t>
      </w:r>
      <w:r w:rsidRPr="00EF4DEF">
        <w:rPr>
          <w:rFonts w:asciiTheme="majorHAnsi" w:hAnsiTheme="majorHAnsi" w:cstheme="majorHAnsi"/>
          <w:color w:val="000000"/>
        </w:rPr>
        <w:t xml:space="preserve"> Konsorcjum, na podstawie § 2 ust. 3 lit. g Umowy Konsorcjum z dnia 2</w:t>
      </w:r>
      <w:r w:rsidRPr="00EF4DEF">
        <w:rPr>
          <w:rFonts w:asciiTheme="majorHAnsi" w:hAnsiTheme="majorHAnsi" w:cstheme="majorHAnsi"/>
        </w:rPr>
        <w:t>0</w:t>
      </w:r>
      <w:r w:rsidRPr="00EF4DEF">
        <w:rPr>
          <w:rFonts w:asciiTheme="majorHAnsi" w:hAnsiTheme="majorHAnsi" w:cstheme="majorHAnsi"/>
          <w:color w:val="000000"/>
        </w:rPr>
        <w:t xml:space="preserve"> </w:t>
      </w:r>
      <w:r w:rsidRPr="00EF4DEF">
        <w:rPr>
          <w:rFonts w:asciiTheme="majorHAnsi" w:hAnsiTheme="majorHAnsi" w:cstheme="majorHAnsi"/>
        </w:rPr>
        <w:t>maja</w:t>
      </w:r>
      <w:r w:rsidRPr="00EF4DEF">
        <w:rPr>
          <w:rFonts w:asciiTheme="majorHAnsi" w:hAnsiTheme="majorHAnsi" w:cstheme="majorHAnsi"/>
          <w:color w:val="000000"/>
        </w:rPr>
        <w:t xml:space="preserve"> 202</w:t>
      </w:r>
      <w:r w:rsidRPr="00EF4DEF">
        <w:rPr>
          <w:rFonts w:asciiTheme="majorHAnsi" w:hAnsiTheme="majorHAnsi" w:cstheme="majorHAnsi"/>
        </w:rPr>
        <w:t>4</w:t>
      </w:r>
      <w:r w:rsidRPr="00EF4DEF">
        <w:rPr>
          <w:rFonts w:asciiTheme="majorHAnsi" w:hAnsiTheme="majorHAnsi" w:cstheme="majorHAnsi"/>
          <w:color w:val="000000"/>
        </w:rPr>
        <w:t xml:space="preserve"> roku zawartej pomiędzy Uniwersytetem SWPS</w:t>
      </w:r>
      <w:r w:rsidRPr="00EF4DEF">
        <w:rPr>
          <w:rFonts w:asciiTheme="majorHAnsi" w:hAnsiTheme="majorHAnsi" w:cstheme="majorHAnsi"/>
        </w:rPr>
        <w:t xml:space="preserve"> </w:t>
      </w:r>
      <w:r w:rsidRPr="00EF4DEF">
        <w:rPr>
          <w:rFonts w:asciiTheme="majorHAnsi" w:hAnsiTheme="majorHAnsi" w:cstheme="majorHAnsi"/>
          <w:color w:val="000000"/>
        </w:rPr>
        <w:t>a</w:t>
      </w:r>
      <w:r w:rsidRPr="00EF4DEF">
        <w:rPr>
          <w:rFonts w:asciiTheme="majorHAnsi" w:hAnsiTheme="majorHAnsi" w:cstheme="majorHAnsi"/>
        </w:rPr>
        <w:t xml:space="preserve"> Parkiem Naukowo-Technologicznym Uniwersytetu Zielonogórskiego Sp. z o.o., Szkołą Główną Gospodarstwa Wiejskiego w Warszawie oraz </w:t>
      </w:r>
      <w:r w:rsidRPr="00EF4DEF">
        <w:rPr>
          <w:rFonts w:asciiTheme="majorHAnsi" w:hAnsiTheme="majorHAnsi" w:cstheme="majorHAnsi"/>
          <w:color w:val="000000"/>
        </w:rPr>
        <w:t xml:space="preserve">Wojskową  Akademią Techniczną  im.  Jarosława Dąbrowskiego w Warszawie,  ustalają niniejszy Regulamin Konkursu o przyznanie grantu na prace przedwdrożeniowe w ramach projektu </w:t>
      </w:r>
      <w:r w:rsidRPr="00EF4DEF">
        <w:rPr>
          <w:rFonts w:asciiTheme="majorHAnsi" w:hAnsiTheme="majorHAnsi" w:cstheme="majorHAnsi"/>
        </w:rPr>
        <w:t>„Science4Business - Nauka dla Biznesu”</w:t>
      </w:r>
      <w:r w:rsidRPr="00EF4DEF">
        <w:rPr>
          <w:rFonts w:asciiTheme="majorHAnsi" w:hAnsiTheme="majorHAnsi" w:cstheme="majorHAnsi"/>
          <w:color w:val="000000"/>
        </w:rPr>
        <w:t xml:space="preserve"> realizowanego przez Uniwersytet SWPS, </w:t>
      </w:r>
      <w:r w:rsidRPr="00EF4DEF">
        <w:rPr>
          <w:rFonts w:asciiTheme="majorHAnsi" w:hAnsiTheme="majorHAnsi" w:cstheme="majorHAnsi"/>
        </w:rPr>
        <w:t xml:space="preserve">Park Naukowo-Technologiczny Uniwersytetu Zielonogórskiego Sp. z o.o., Szkołę Główną Gospodarstwa Wiejskiego </w:t>
      </w:r>
      <w:r w:rsidRPr="00EF4DEF">
        <w:rPr>
          <w:rFonts w:asciiTheme="majorHAnsi" w:hAnsiTheme="majorHAnsi" w:cstheme="majorHAnsi"/>
          <w:color w:val="000000"/>
        </w:rPr>
        <w:t>oraz Wojskową Akademię Techniczną im. Jarosława Dąbrowskiego. Sposób przyjęci</w:t>
      </w:r>
      <w:r w:rsidRPr="00EF4DEF">
        <w:rPr>
          <w:rFonts w:asciiTheme="majorHAnsi" w:hAnsiTheme="majorHAnsi" w:cstheme="majorHAnsi"/>
        </w:rPr>
        <w:t>a Regulaminu przez każdego Członka Konsorcjum jest zgodny z procedurami formalnymi funkcjonującymi u danego Członka Konsorcjum.</w:t>
      </w:r>
    </w:p>
    <w:p w14:paraId="0FDCF872" w14:textId="77777777" w:rsidR="00372AED" w:rsidRPr="00EF4DEF" w:rsidRDefault="007856BB">
      <w:pPr>
        <w:pStyle w:val="Nagwek1"/>
        <w:spacing w:before="159"/>
        <w:ind w:firstLine="582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§1</w:t>
      </w:r>
    </w:p>
    <w:p w14:paraId="2B33F5DF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82"/>
        <w:ind w:left="581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>Definicje</w:t>
      </w:r>
    </w:p>
    <w:p w14:paraId="036C384B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81"/>
        <w:ind w:left="116"/>
        <w:jc w:val="both"/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  <w:color w:val="000000"/>
        </w:rPr>
        <w:t>Używane w niniejszym Regulaminie pojęcia oznaczają:</w:t>
      </w:r>
    </w:p>
    <w:p w14:paraId="69B84546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before="182" w:line="256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CTT WAT – Centrum Transferu Technologii WAT, tj. ogólnouczelniana jednostka utworzona w celu komercjalizacji bezpośredniej wyników działalności naukowej realizowanej na WAT;</w:t>
      </w:r>
    </w:p>
    <w:p w14:paraId="5D4678D4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CTW – Centrum Transferu Wiedzy Uniwersytetu SWPS, tj. ogólnouczelniana jednostka utworzona w celu komercjalizacji bezpośredniej wyników działalności  naukowej  realizowanej n</w:t>
      </w:r>
      <w:r w:rsidRPr="00EF4DEF">
        <w:rPr>
          <w:rFonts w:asciiTheme="majorHAnsi" w:hAnsiTheme="majorHAnsi" w:cstheme="majorHAnsi"/>
        </w:rPr>
        <w:t>a Uniwersytecie</w:t>
      </w:r>
      <w:r w:rsidRPr="00EF4DEF">
        <w:rPr>
          <w:rFonts w:asciiTheme="majorHAnsi" w:hAnsiTheme="majorHAnsi" w:cstheme="majorHAnsi"/>
          <w:color w:val="000000"/>
        </w:rPr>
        <w:t xml:space="preserve"> SWPS;</w:t>
      </w:r>
    </w:p>
    <w:p w14:paraId="73963428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PNT - jednostka utworzona w celu komercjalizacji bezpośredniej wyników działalności  naukowej  realizowanej w Parku Naukowo-Technologicznym Uniwersytetu Zielonogórskiego;</w:t>
      </w:r>
    </w:p>
    <w:p w14:paraId="645BC5E2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CTT SGGW - Centrum Transferu Technologii SGGW, tj. ogólnouczelniana jednostka utworzona w celu komercjalizacji bezpośredniej wyników działalności  naukowej  realizowanej na SGGW;</w:t>
      </w:r>
    </w:p>
    <w:p w14:paraId="2FC369E9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działalność naukowa, badania naukowe lub prace rozwojowe – działalność naukową, badania naukowe lub prace rozwojowe w rozumieniu art. 4 ust. 1-3 ustawy z dnia 20 lipca 2018 r. Prawo o szkolnictwie wyższym i nauce;</w:t>
      </w:r>
    </w:p>
    <w:p w14:paraId="76C2DE51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6" w:lineRule="auto"/>
        <w:ind w:left="541" w:right="113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Grant – wsparcie finansowe udzielane przez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Grantodawcę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na rzecz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na realizację Projektu Grantowego zgodnie z Wnioskiem i na zasadach określonych w Regulaminie;</w:t>
      </w:r>
    </w:p>
    <w:p w14:paraId="2CD7BEFD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3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– twórca wyników badań naukowych i prac rozwojowych będących przedmiotem Wniosku, będący uczestnikiem Konkursu, ubiegający się 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o Grant na podstawie Wniosku, oraz realizujący Projekt Grantowy zgodnie z Wnioskiem i na zasadach określonych w Regulaminie;</w:t>
      </w:r>
    </w:p>
    <w:p w14:paraId="6BC6C999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Grantodawca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– podmiot udzielający Grantu odpowiednio:</w:t>
      </w:r>
    </w:p>
    <w:p w14:paraId="4430DCAE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0"/>
        </w:tabs>
        <w:spacing w:line="259" w:lineRule="auto"/>
        <w:ind w:left="1129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 xml:space="preserve">Uniwersytet </w:t>
      </w:r>
      <w:r w:rsidRPr="00EF4DEF">
        <w:rPr>
          <w:rFonts w:asciiTheme="majorHAnsi" w:hAnsiTheme="majorHAnsi" w:cstheme="majorHAnsi"/>
          <w:color w:val="000000"/>
        </w:rPr>
        <w:t xml:space="preserve">SWPS – dla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będących twórcami wyników badań naukowych i prac rozwojowych, które są przedmiotem Wniosku i do których prawa przysługują Uniwersytetowi SWPS;</w:t>
      </w:r>
    </w:p>
    <w:p w14:paraId="218EE0D8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0"/>
        </w:tabs>
        <w:spacing w:line="259" w:lineRule="auto"/>
        <w:ind w:left="1129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 xml:space="preserve">PNT – dla </w:t>
      </w:r>
      <w:proofErr w:type="spellStart"/>
      <w:r w:rsidRPr="00EF4DEF">
        <w:rPr>
          <w:rFonts w:asciiTheme="majorHAnsi" w:hAnsiTheme="majorHAnsi" w:cstheme="majorHAnsi"/>
        </w:rPr>
        <w:t>Grantobiorców</w:t>
      </w:r>
      <w:proofErr w:type="spellEnd"/>
      <w:r w:rsidRPr="00EF4DEF">
        <w:rPr>
          <w:rFonts w:asciiTheme="majorHAnsi" w:hAnsiTheme="majorHAnsi" w:cstheme="majorHAnsi"/>
        </w:rPr>
        <w:t xml:space="preserve"> będących twórcami wyników badań naukowych i prac rozwojowych, które są przedmiotem Wniosku i do których prawa przysługują PNT;</w:t>
      </w:r>
    </w:p>
    <w:p w14:paraId="01548BF3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0"/>
        </w:tabs>
        <w:spacing w:line="259" w:lineRule="auto"/>
        <w:ind w:left="1129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 xml:space="preserve">SGGW – dla </w:t>
      </w:r>
      <w:proofErr w:type="spellStart"/>
      <w:r w:rsidRPr="00EF4DEF">
        <w:rPr>
          <w:rFonts w:asciiTheme="majorHAnsi" w:hAnsiTheme="majorHAnsi" w:cstheme="majorHAnsi"/>
        </w:rPr>
        <w:t>Grantobiorców</w:t>
      </w:r>
      <w:proofErr w:type="spellEnd"/>
      <w:r w:rsidRPr="00EF4DEF">
        <w:rPr>
          <w:rFonts w:asciiTheme="majorHAnsi" w:hAnsiTheme="majorHAnsi" w:cstheme="majorHAnsi"/>
        </w:rPr>
        <w:t xml:space="preserve"> będących twórcami wyników badań naukowych i prac rozwojowych, które są przedmiotem Wniosku i do których prawa przysługują SGGW;</w:t>
      </w:r>
    </w:p>
    <w:p w14:paraId="238995B6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80"/>
        </w:tabs>
        <w:spacing w:line="259" w:lineRule="auto"/>
        <w:ind w:left="1129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eastAsia="Times New Roman" w:hAnsiTheme="majorHAnsi" w:cstheme="majorHAnsi"/>
          <w:color w:val="000000"/>
        </w:rPr>
        <w:tab/>
      </w:r>
      <w:r w:rsidRPr="00EF4DEF">
        <w:rPr>
          <w:rFonts w:asciiTheme="majorHAnsi" w:hAnsiTheme="majorHAnsi" w:cstheme="majorHAnsi"/>
          <w:color w:val="000000"/>
        </w:rPr>
        <w:t xml:space="preserve">WAT – dla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będących twórcami wyników badań naukowych i prac rozwojowych, które są przedmiotem Wniosku i do których prawa przysługują WAT;</w:t>
      </w:r>
    </w:p>
    <w:p w14:paraId="704135F1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21"/>
        <w:ind w:left="769"/>
        <w:jc w:val="both"/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  <w:color w:val="000000"/>
        </w:rPr>
        <w:t>zwani łącznie „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Grantodawcami</w:t>
      </w:r>
      <w:proofErr w:type="spellEnd"/>
      <w:r w:rsidRPr="00EF4DEF">
        <w:rPr>
          <w:rFonts w:asciiTheme="majorHAnsi" w:hAnsiTheme="majorHAnsi" w:cstheme="majorHAnsi"/>
          <w:color w:val="000000"/>
        </w:rPr>
        <w:t>”;</w:t>
      </w:r>
    </w:p>
    <w:p w14:paraId="10BF4731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before="139" w:line="259" w:lineRule="auto"/>
        <w:ind w:left="541" w:right="115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Komercjalizacja  –  komercjalizacja  bezpośrednia  i  pośrednia  w   rozumieniu  ustawy   z  dnia 20 lipca 2018 r. - Prawo o szkolnictwie wyższym i nauce;</w:t>
      </w:r>
    </w:p>
    <w:p w14:paraId="151ADC93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09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Konkurs – postępowanie konkursowe mające na celu wyłonienie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realizujących Projekty Grantowe w oparciu o Wnioski, ogłoszony w ramach Projektu przez Lidera Konsorcjum </w:t>
      </w:r>
      <w:r w:rsidRPr="00EF4DEF">
        <w:rPr>
          <w:rFonts w:asciiTheme="majorHAnsi" w:hAnsiTheme="majorHAnsi" w:cstheme="majorHAnsi"/>
          <w:color w:val="000000"/>
        </w:rPr>
        <w:lastRenderedPageBreak/>
        <w:t>Uniwersytet SWPS i przeprowadzany zgodnie z Regulaminem przez Organizatorów Konkursu;</w:t>
      </w:r>
    </w:p>
    <w:p w14:paraId="428CA89A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Organizator Konkursu – podmiot przeprowadzający Konkurs odpowiednio:</w:t>
      </w:r>
    </w:p>
    <w:p w14:paraId="292CF470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9" w:lineRule="auto"/>
        <w:ind w:left="836" w:right="113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 xml:space="preserve">Uniwersytet </w:t>
      </w:r>
      <w:r w:rsidRPr="00EF4DEF">
        <w:rPr>
          <w:rFonts w:asciiTheme="majorHAnsi" w:hAnsiTheme="majorHAnsi" w:cstheme="majorHAnsi"/>
          <w:color w:val="000000"/>
        </w:rPr>
        <w:t xml:space="preserve">SWPS – dla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będących twórcami wyników badań naukowych i prac rozwojowych, które są przedmiotem Wniosku i do których prawa przysługują Uniwersytetowi SWPS;</w:t>
      </w:r>
    </w:p>
    <w:p w14:paraId="3CAA3405" w14:textId="77777777" w:rsidR="00372AED" w:rsidRPr="00EF4DEF" w:rsidRDefault="007856BB">
      <w:pPr>
        <w:numPr>
          <w:ilvl w:val="1"/>
          <w:numId w:val="7"/>
        </w:numPr>
        <w:tabs>
          <w:tab w:val="left" w:pos="837"/>
        </w:tabs>
        <w:spacing w:line="259" w:lineRule="auto"/>
        <w:ind w:left="836" w:right="113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 xml:space="preserve">PNT – dla </w:t>
      </w:r>
      <w:proofErr w:type="spellStart"/>
      <w:r w:rsidRPr="00EF4DEF">
        <w:rPr>
          <w:rFonts w:asciiTheme="majorHAnsi" w:hAnsiTheme="majorHAnsi" w:cstheme="majorHAnsi"/>
        </w:rPr>
        <w:t>Grantobiorców</w:t>
      </w:r>
      <w:proofErr w:type="spellEnd"/>
      <w:r w:rsidRPr="00EF4DEF">
        <w:rPr>
          <w:rFonts w:asciiTheme="majorHAnsi" w:hAnsiTheme="majorHAnsi" w:cstheme="majorHAnsi"/>
        </w:rPr>
        <w:t xml:space="preserve"> będących twórcami wyników badań naukowych i prac rozwojowych, które są przedmiotem Wniosku i do których prawa przysługują PNT;</w:t>
      </w:r>
    </w:p>
    <w:p w14:paraId="689A7AA8" w14:textId="77777777" w:rsidR="00372AED" w:rsidRPr="00EF4DEF" w:rsidRDefault="007856BB">
      <w:pPr>
        <w:numPr>
          <w:ilvl w:val="1"/>
          <w:numId w:val="7"/>
        </w:numPr>
        <w:tabs>
          <w:tab w:val="left" w:pos="837"/>
        </w:tabs>
        <w:spacing w:line="259" w:lineRule="auto"/>
        <w:ind w:left="836" w:right="113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 xml:space="preserve">SGGW – dla </w:t>
      </w:r>
      <w:proofErr w:type="spellStart"/>
      <w:r w:rsidRPr="00EF4DEF">
        <w:rPr>
          <w:rFonts w:asciiTheme="majorHAnsi" w:hAnsiTheme="majorHAnsi" w:cstheme="majorHAnsi"/>
        </w:rPr>
        <w:t>Grantobiorców</w:t>
      </w:r>
      <w:proofErr w:type="spellEnd"/>
      <w:r w:rsidRPr="00EF4DEF">
        <w:rPr>
          <w:rFonts w:asciiTheme="majorHAnsi" w:hAnsiTheme="majorHAnsi" w:cstheme="majorHAnsi"/>
        </w:rPr>
        <w:t xml:space="preserve"> będących twórcami wyników badań naukowych i prac rozwojowych, które są przedmiotem Wniosku i do których prawa przysługują SGGW;</w:t>
      </w:r>
    </w:p>
    <w:p w14:paraId="09606CE1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6" w:lineRule="auto"/>
        <w:ind w:left="836" w:right="113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WAT - dla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będących twórcami wyników badań naukowych i prac rozwojowych, które są przedmiotem Wniosku i do których prawa przysługują WAT;</w:t>
      </w:r>
    </w:p>
    <w:p w14:paraId="533DB227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prace przedwdrożeniowe – działania przygotowawcze do wdrożenia</w:t>
      </w:r>
      <w:r w:rsidRPr="00EF4DEF">
        <w:rPr>
          <w:rFonts w:asciiTheme="majorHAnsi" w:hAnsiTheme="majorHAnsi" w:cstheme="majorHAnsi"/>
          <w:i/>
          <w:color w:val="000000"/>
        </w:rPr>
        <w:t xml:space="preserve">, </w:t>
      </w:r>
      <w:r w:rsidRPr="00EF4DEF">
        <w:rPr>
          <w:rFonts w:asciiTheme="majorHAnsi" w:hAnsiTheme="majorHAnsi" w:cstheme="majorHAnsi"/>
          <w:color w:val="000000"/>
        </w:rPr>
        <w:t>służące podniesieniu gotowości technologicznej (poziomu TRL) innowacyjnego rozwiązania o potencjale komercjalizacyjnym, tj. umożliwiających doprowadzenie rozwiązania będącego przedmiotem Wniosku do etapu, w którym będzie możliwe jego wdrożenie (w szczególności celem Projektu Grantowego może być opracowanie i przetestowanie/walidacja prototypu, certyfikowanie rozwiązania, opracowanie dokumentacji wdrożeniowej, badania rynku, uzyskanie analizy rzeczników patentowych, koszty ochrony prawnej, opracowanie założeń do kampanii marketingowej i PR-owej etc.);</w:t>
      </w:r>
    </w:p>
    <w:p w14:paraId="00E867C6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Projekt – projekt </w:t>
      </w:r>
      <w:r w:rsidRPr="00EF4DEF">
        <w:rPr>
          <w:rFonts w:asciiTheme="majorHAnsi" w:hAnsiTheme="majorHAnsi" w:cstheme="majorHAnsi"/>
          <w:b/>
          <w:color w:val="000000"/>
        </w:rPr>
        <w:t>„</w:t>
      </w:r>
      <w:r w:rsidRPr="00EF4DEF">
        <w:rPr>
          <w:rFonts w:asciiTheme="majorHAnsi" w:hAnsiTheme="majorHAnsi" w:cstheme="majorHAnsi"/>
          <w:b/>
        </w:rPr>
        <w:t>Science4Business - Nauka dla Biznesu</w:t>
      </w:r>
      <w:r w:rsidRPr="00EF4DEF">
        <w:rPr>
          <w:rFonts w:asciiTheme="majorHAnsi" w:hAnsiTheme="majorHAnsi" w:cstheme="majorHAnsi"/>
          <w:b/>
          <w:color w:val="000000"/>
        </w:rPr>
        <w:t>”</w:t>
      </w:r>
      <w:r w:rsidRPr="00EF4DEF">
        <w:rPr>
          <w:rFonts w:asciiTheme="majorHAnsi" w:hAnsiTheme="majorHAnsi" w:cstheme="majorHAnsi"/>
          <w:color w:val="000000"/>
        </w:rPr>
        <w:t xml:space="preserve">, współfinansowany ze przez Ministra Nauki i Szkolnictwa Wyższego ze środków Programu </w:t>
      </w:r>
      <w:r w:rsidRPr="00EF4DEF">
        <w:rPr>
          <w:rFonts w:asciiTheme="majorHAnsi" w:hAnsiTheme="majorHAnsi" w:cstheme="majorHAnsi"/>
        </w:rPr>
        <w:t>Fundusze Europejskie dla Nowoczesnej Gospodarki</w:t>
      </w:r>
      <w:r w:rsidRPr="00EF4DEF">
        <w:rPr>
          <w:rFonts w:asciiTheme="majorHAnsi" w:hAnsiTheme="majorHAnsi" w:cstheme="majorHAnsi"/>
          <w:color w:val="000000"/>
        </w:rPr>
        <w:t xml:space="preserve"> (Działanie FENG</w:t>
      </w:r>
      <w:r w:rsidRPr="00EF4DEF">
        <w:rPr>
          <w:rFonts w:asciiTheme="majorHAnsi" w:hAnsiTheme="majorHAnsi" w:cstheme="majorHAnsi"/>
        </w:rPr>
        <w:t>.02.05.</w:t>
      </w:r>
      <w:r w:rsidRPr="00EF4DEF">
        <w:rPr>
          <w:rFonts w:asciiTheme="majorHAnsi" w:hAnsiTheme="majorHAnsi" w:cstheme="majorHAnsi"/>
          <w:color w:val="000000"/>
        </w:rPr>
        <w:t xml:space="preserve">) na podstawie umowy nr </w:t>
      </w:r>
      <w:proofErr w:type="spellStart"/>
      <w:r w:rsidRPr="00EF4DEF">
        <w:rPr>
          <w:rFonts w:asciiTheme="majorHAnsi" w:hAnsiTheme="majorHAnsi" w:cstheme="majorHAnsi"/>
          <w:color w:val="000000"/>
        </w:rPr>
        <w:t>MNiSW</w:t>
      </w:r>
      <w:proofErr w:type="spellEnd"/>
      <w:r w:rsidRPr="00EF4DEF">
        <w:rPr>
          <w:rFonts w:asciiTheme="majorHAnsi" w:hAnsiTheme="majorHAnsi" w:cstheme="majorHAnsi"/>
          <w:color w:val="000000"/>
        </w:rPr>
        <w:t>/202</w:t>
      </w:r>
      <w:r w:rsidRPr="00EF4DEF">
        <w:rPr>
          <w:rFonts w:asciiTheme="majorHAnsi" w:hAnsiTheme="majorHAnsi" w:cstheme="majorHAnsi"/>
        </w:rPr>
        <w:t>5</w:t>
      </w:r>
      <w:r w:rsidRPr="00EF4DEF">
        <w:rPr>
          <w:rFonts w:asciiTheme="majorHAnsi" w:hAnsiTheme="majorHAnsi" w:cstheme="majorHAnsi"/>
          <w:color w:val="000000"/>
        </w:rPr>
        <w:t>/</w:t>
      </w:r>
      <w:r w:rsidRPr="00EF4DEF">
        <w:rPr>
          <w:rFonts w:asciiTheme="majorHAnsi" w:hAnsiTheme="majorHAnsi" w:cstheme="majorHAnsi"/>
        </w:rPr>
        <w:t>DPI</w:t>
      </w:r>
      <w:r w:rsidRPr="00EF4DEF">
        <w:rPr>
          <w:rFonts w:asciiTheme="majorHAnsi" w:hAnsiTheme="majorHAnsi" w:cstheme="majorHAnsi"/>
          <w:color w:val="000000"/>
        </w:rPr>
        <w:t>/</w:t>
      </w:r>
      <w:r w:rsidRPr="00EF4DEF">
        <w:rPr>
          <w:rFonts w:asciiTheme="majorHAnsi" w:hAnsiTheme="majorHAnsi" w:cstheme="majorHAnsi"/>
        </w:rPr>
        <w:t>266</w:t>
      </w:r>
      <w:r w:rsidRPr="00EF4DEF">
        <w:rPr>
          <w:rFonts w:asciiTheme="majorHAnsi" w:hAnsiTheme="majorHAnsi" w:cstheme="majorHAnsi"/>
          <w:color w:val="000000"/>
        </w:rPr>
        <w:t>, realizowany przez konsorcjum w składzie: Uniwersytet SWPS</w:t>
      </w:r>
      <w:r w:rsidRPr="00EF4DEF">
        <w:rPr>
          <w:rFonts w:asciiTheme="majorHAnsi" w:hAnsiTheme="majorHAnsi" w:cstheme="majorHAnsi"/>
        </w:rPr>
        <w:t>, Park Naukowo-Technologiczny Uniwersytetu Zielonogórskiego Sp. z o.o., Szkołę Główną Gospodarstwa Wiejskiego</w:t>
      </w:r>
      <w:r w:rsidRPr="00EF4DEF">
        <w:rPr>
          <w:rFonts w:asciiTheme="majorHAnsi" w:hAnsiTheme="majorHAnsi" w:cstheme="majorHAnsi"/>
          <w:color w:val="000000"/>
        </w:rPr>
        <w:t xml:space="preserve"> oraz Wojskowa Akademia Techniczna im. Jarosława Dąbrowskiego, na </w:t>
      </w:r>
      <w:r w:rsidRPr="00EF4DEF">
        <w:rPr>
          <w:rFonts w:asciiTheme="majorHAnsi" w:hAnsiTheme="majorHAnsi" w:cstheme="majorHAnsi"/>
        </w:rPr>
        <w:t>podstawie</w:t>
      </w:r>
      <w:r w:rsidRPr="00EF4DEF">
        <w:rPr>
          <w:rFonts w:asciiTheme="majorHAnsi" w:hAnsiTheme="majorHAnsi" w:cstheme="majorHAnsi"/>
          <w:color w:val="000000"/>
        </w:rPr>
        <w:t xml:space="preserve"> umowy konsorcjum z dnia </w:t>
      </w:r>
      <w:r w:rsidRPr="00EF4DEF">
        <w:rPr>
          <w:rFonts w:asciiTheme="majorHAnsi" w:hAnsiTheme="majorHAnsi" w:cstheme="majorHAnsi"/>
        </w:rPr>
        <w:t>20 maja</w:t>
      </w:r>
      <w:r w:rsidRPr="00EF4DEF">
        <w:rPr>
          <w:rFonts w:asciiTheme="majorHAnsi" w:hAnsiTheme="majorHAnsi" w:cstheme="majorHAnsi"/>
          <w:color w:val="000000"/>
        </w:rPr>
        <w:t xml:space="preserve"> 202</w:t>
      </w:r>
      <w:r w:rsidRPr="00EF4DEF">
        <w:rPr>
          <w:rFonts w:asciiTheme="majorHAnsi" w:hAnsiTheme="majorHAnsi" w:cstheme="majorHAnsi"/>
        </w:rPr>
        <w:t>4</w:t>
      </w:r>
      <w:r w:rsidRPr="00EF4DEF">
        <w:rPr>
          <w:rFonts w:asciiTheme="majorHAnsi" w:hAnsiTheme="majorHAnsi" w:cstheme="majorHAnsi"/>
          <w:color w:val="000000"/>
        </w:rPr>
        <w:t xml:space="preserve"> roku;</w:t>
      </w:r>
    </w:p>
    <w:p w14:paraId="6EE1D617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Projekt Grantowy – przedsięwzięcie polegające na realizacji Prac Przedwdrożeniowych,</w:t>
      </w:r>
    </w:p>
    <w:p w14:paraId="68DF3547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9"/>
        <w:ind w:left="541" w:right="115"/>
        <w:jc w:val="both"/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  <w:color w:val="000000"/>
        </w:rPr>
        <w:t>o określonej wartości finansowej, prowadzone w określonym celu i w ustalonych ramach czasowych, na podstawie Wniosku i zgodnie z decyzją o przyznaniu Grantu;</w:t>
      </w:r>
    </w:p>
    <w:p w14:paraId="560BD303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before="121"/>
        <w:ind w:left="541" w:right="113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prawa własności intelektualnej – prawa majątkowe do wyników badań naukowych i prac rozwojowych;</w:t>
      </w:r>
    </w:p>
    <w:p w14:paraId="1EAAFB59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Rada Inwestycyjna – zespół ekspertów dokonujący w imieniu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oceny merytorycznej Wniosków zgłoszonych w Konkursie i przygotowujący listę Wniosków rekomendowanych do przyznania Grantu,</w:t>
      </w:r>
    </w:p>
    <w:p w14:paraId="20795655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Regulamin  –  niniejszy  Regulamin  Konkursu,  określający  zasady  uczestnictwa  w  Konkursie,  tj. procedurę, w ramach której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mogą ubiegać się o Grant oraz określający zasady wykorzystania Grantu;</w:t>
      </w:r>
    </w:p>
    <w:p w14:paraId="69F1BBEA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regulamin zarządzania prawami własności intelektualnej i komercjalizacji – obowiązujący regulamin zarządzania prawami autorskimi, prawami pokrewnymi i prawami własności przemysłowej oraz zasad komercjalizacji, o którym mowa w art. 152 ust. 1 pkt 1 ustawy z dnia     z dnia 20 lipca 2018 roku - Prawo o szkolnictwie wyższym i nauce odpowiednio:</w:t>
      </w:r>
    </w:p>
    <w:p w14:paraId="79C2F352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3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     WAT     –    „Regulamin    zarządzania    prawami    autorskimi,    prawami    pokrewnymi i prawami własności przemysłowej oraz zasad komercjalizacji”, stanowiący załącznik do</w:t>
      </w:r>
      <w:r w:rsidRPr="00EF4DEF">
        <w:rPr>
          <w:rFonts w:asciiTheme="majorHAnsi" w:hAnsiTheme="majorHAnsi" w:cstheme="majorHAnsi"/>
        </w:rPr>
        <w:t xml:space="preserve"> </w:t>
      </w:r>
      <w:r w:rsidRPr="00EF4DEF">
        <w:rPr>
          <w:rFonts w:asciiTheme="majorHAnsi" w:hAnsiTheme="majorHAnsi" w:cstheme="majorHAnsi"/>
          <w:color w:val="000000"/>
        </w:rPr>
        <w:t>uchwały Senatu Wojskowej Akademii Technicznej im. Jarosława Dąbrowskiego nr 31/WAT/2018 z dnia 26 kwietnia 2018 roku w sprawie uchwalenia „Regulaminu zarządzania prawami autorskimi, prawami pokrewnymi i prawami własności przemysłowej oraz zasad komercjalizacji”;</w:t>
      </w:r>
    </w:p>
    <w:p w14:paraId="46FD7F88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 Uniwersyte</w:t>
      </w:r>
      <w:r w:rsidRPr="00EF4DEF">
        <w:rPr>
          <w:rFonts w:asciiTheme="majorHAnsi" w:hAnsiTheme="majorHAnsi" w:cstheme="majorHAnsi"/>
        </w:rPr>
        <w:t xml:space="preserve">cie </w:t>
      </w:r>
      <w:r w:rsidRPr="00EF4DEF">
        <w:rPr>
          <w:rFonts w:asciiTheme="majorHAnsi" w:hAnsiTheme="majorHAnsi" w:cstheme="majorHAnsi"/>
          <w:color w:val="000000"/>
        </w:rPr>
        <w:t xml:space="preserve">SWPS – „Regulamin zarządzania własnością intelektualną oraz zasady </w:t>
      </w:r>
      <w:r w:rsidRPr="00EF4DEF">
        <w:rPr>
          <w:rFonts w:asciiTheme="majorHAnsi" w:hAnsiTheme="majorHAnsi" w:cstheme="majorHAnsi"/>
          <w:color w:val="000000"/>
        </w:rPr>
        <w:lastRenderedPageBreak/>
        <w:t>komercjalizacji na Uniwersytecie SWPS”, stanowiący załącznik zarządzenia nr 38/2018 Rektora Uniwersytetu SWPS z dnia 25 września 2018 roku;</w:t>
      </w:r>
    </w:p>
    <w:p w14:paraId="0612703B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w PNT - Regulamin zarządzania własnością intelektualną oraz zasady komercjalizacji w Parku Naukowo- Technologicznym Uniwersytetu Zielonogórskiego Sp. z o.o., wprowadzony Zarządzeniem Prezesa nr PNT/2/2025 z dnia 02.01.2025</w:t>
      </w:r>
    </w:p>
    <w:p w14:paraId="0C684986" w14:textId="77777777" w:rsidR="00372AED" w:rsidRPr="00EF4DEF" w:rsidRDefault="007856BB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w SGGW - Regulamin zarządzania prawami autorskimi, prawami pokrewnymi i własności przemysłowej oraz zasad Komercjalizacji w Szkole Głównej Gospodarstwa Wiejskiego w Warszawie Załącznik nr 1 do Uchwały nr 115 - 2018/2019 Senatu SGGW z dnia 24.06.2019 r.</w:t>
      </w:r>
    </w:p>
    <w:p w14:paraId="17D9551A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PNT - Park Naukowo-Technologiczny Uniwersytetu Zielonogórskiego Sp. z o.o.;</w:t>
      </w:r>
    </w:p>
    <w:p w14:paraId="07A27B80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SGGW - Szkoła Główna Gospodarstwa Wiejskiego;</w:t>
      </w:r>
    </w:p>
    <w:p w14:paraId="7F6881B0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WAT – Wojskowa Akademia Techniczna im. Jarosława Dąbrowskiego;</w:t>
      </w:r>
    </w:p>
    <w:p w14:paraId="674432DF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wdrożenie – działanie polegające na zastosowaniu wyników działalności naukowej w praktyce społeczno-gospodarczej, w tym w szczególności wprowadzenie na rynek w postaci konkretnych produktów lub usług;</w:t>
      </w:r>
    </w:p>
    <w:p w14:paraId="3E60919E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3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Wniosek – wniosek o przyznanie Grantu na realizację Projektu Grantowego, składany w Konkursie przez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w postaci formularza aplikacyjnego, którego wzór określony jest w załączniku nr 2 do Regulaminu;</w:t>
      </w:r>
    </w:p>
    <w:p w14:paraId="19BF36DD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wyniki działalności naukowej – wyniki działalności naukowej, o której mowa w art. 4 ustawy z dnia z dnia 20 lipca 2018 roku - Prawo o szkolnictwie wyższym i nauce, w tym wyniki badań naukowych i prac rozwojowych;</w:t>
      </w:r>
    </w:p>
    <w:p w14:paraId="57A8754E" w14:textId="77777777" w:rsidR="00372AED" w:rsidRPr="00EF4DEF" w:rsidRDefault="007856B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Zespół Projektowy Uniwersytetu SWPS, Zespół Projektowy PN</w:t>
      </w:r>
      <w:r w:rsidRPr="00EF4DEF">
        <w:rPr>
          <w:rFonts w:asciiTheme="majorHAnsi" w:hAnsiTheme="majorHAnsi" w:cstheme="majorHAnsi"/>
        </w:rPr>
        <w:t>T, Zespół Projektowy SGGW</w:t>
      </w:r>
      <w:r w:rsidRPr="00EF4DEF">
        <w:rPr>
          <w:rFonts w:asciiTheme="majorHAnsi" w:hAnsiTheme="majorHAnsi" w:cstheme="majorHAnsi"/>
          <w:color w:val="000000"/>
        </w:rPr>
        <w:t xml:space="preserve"> lub Zespół Projektowy WAT – zespoły dokonujące weryfikacji formalnej Wniosków, na podstawie § 4 ust. 2 pkt 1, w skład których wchodzą odpowiednio pracownicy i pracowniczki Uniw</w:t>
      </w:r>
      <w:r w:rsidRPr="00EF4DEF">
        <w:rPr>
          <w:rFonts w:asciiTheme="majorHAnsi" w:hAnsiTheme="majorHAnsi" w:cstheme="majorHAnsi"/>
        </w:rPr>
        <w:t xml:space="preserve">ersytetu </w:t>
      </w:r>
      <w:r w:rsidRPr="00EF4DEF">
        <w:rPr>
          <w:rFonts w:asciiTheme="majorHAnsi" w:hAnsiTheme="majorHAnsi" w:cstheme="majorHAnsi"/>
          <w:color w:val="000000"/>
        </w:rPr>
        <w:t>SWPS, PNT</w:t>
      </w:r>
      <w:r w:rsidRPr="00EF4DEF">
        <w:rPr>
          <w:rFonts w:asciiTheme="majorHAnsi" w:hAnsiTheme="majorHAnsi" w:cstheme="majorHAnsi"/>
        </w:rPr>
        <w:t>, SGGW</w:t>
      </w:r>
      <w:r w:rsidRPr="00EF4DEF">
        <w:rPr>
          <w:rFonts w:asciiTheme="majorHAnsi" w:hAnsiTheme="majorHAnsi" w:cstheme="majorHAnsi"/>
          <w:color w:val="000000"/>
        </w:rPr>
        <w:t xml:space="preserve"> lub WAT, w tym  Brokerzy  innowacji zatrudnieni  w CTT SGGW, CTT WAT, CTW lub </w:t>
      </w:r>
      <w:r w:rsidRPr="00EF4DEF">
        <w:rPr>
          <w:rFonts w:asciiTheme="majorHAnsi" w:hAnsiTheme="majorHAnsi" w:cstheme="majorHAnsi"/>
        </w:rPr>
        <w:t>PNT</w:t>
      </w:r>
      <w:r w:rsidRPr="00EF4DEF">
        <w:rPr>
          <w:rFonts w:asciiTheme="majorHAnsi" w:hAnsiTheme="majorHAnsi" w:cstheme="majorHAnsi"/>
          <w:color w:val="000000"/>
        </w:rPr>
        <w:t>.</w:t>
      </w:r>
    </w:p>
    <w:p w14:paraId="74A913F0" w14:textId="77777777" w:rsidR="00372AED" w:rsidRPr="00EF4DEF" w:rsidRDefault="007856BB">
      <w:pPr>
        <w:pStyle w:val="Nagwek1"/>
        <w:spacing w:before="119"/>
        <w:ind w:firstLine="582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§2</w:t>
      </w:r>
    </w:p>
    <w:p w14:paraId="156EDFE4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81"/>
        <w:ind w:left="580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>Postanowienia ogólne</w:t>
      </w:r>
    </w:p>
    <w:p w14:paraId="598FF17D" w14:textId="77777777" w:rsidR="00372AED" w:rsidRPr="00EF4DEF" w:rsidRDefault="007856B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before="182" w:line="259" w:lineRule="auto"/>
        <w:ind w:left="541" w:right="113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Niniejszy Regulamin określa zasady i warunki uczestnictwa w Konkursie oraz zasady wykorzystania środków przyznanych na realizację Projektu Grantowego.</w:t>
      </w:r>
    </w:p>
    <w:p w14:paraId="02302314" w14:textId="77777777" w:rsidR="00372AED" w:rsidRPr="00EF4DEF" w:rsidRDefault="007856B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Organizatorem Konkursu są Uniwersytet SWPS, PNT, SGGW oraz WAT.</w:t>
      </w:r>
    </w:p>
    <w:p w14:paraId="0BBE6181" w14:textId="77777777" w:rsidR="00372AED" w:rsidRPr="00EF4DEF" w:rsidRDefault="007856B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Grantobiorcą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może być twórca wyników działalności naukowej, które są przedmiotem Wniosku, w tym:</w:t>
      </w:r>
    </w:p>
    <w:p w14:paraId="21AF3DED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line="259" w:lineRule="auto"/>
        <w:ind w:left="915" w:right="112" w:hanging="375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osoba zatrudniona 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na podstawie umowy o pracę, mianowania lub będąca żołnierzem  zawodowym  wyznaczonym  na   stanowisko   służbowe   w   WAT,  przy   czym w momencie składania Wniosku wystarczające będzie także przedstawienie promesy zatrudnienia 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>;</w:t>
      </w:r>
    </w:p>
    <w:p w14:paraId="5AE77013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line="259" w:lineRule="auto"/>
        <w:ind w:left="915" w:right="112" w:hanging="375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osoba niezatrudniona 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(np. student), która przed rozstrzygnięciem konkursu przeniosła prawa własności intelektualnej do dobra będącego przedmiotem wniosku na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Grantodawcę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; </w:t>
      </w:r>
    </w:p>
    <w:p w14:paraId="7BC36253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line="256" w:lineRule="auto"/>
        <w:ind w:left="915" w:right="112" w:hanging="375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zespół naukowo-badawczy odpowiednio PNT, SGGW, U</w:t>
      </w:r>
      <w:r w:rsidRPr="00EF4DEF">
        <w:rPr>
          <w:rFonts w:asciiTheme="majorHAnsi" w:hAnsiTheme="majorHAnsi" w:cstheme="majorHAnsi"/>
        </w:rPr>
        <w:t xml:space="preserve">niwersytetu </w:t>
      </w:r>
      <w:r w:rsidRPr="00EF4DEF">
        <w:rPr>
          <w:rFonts w:asciiTheme="majorHAnsi" w:hAnsiTheme="majorHAnsi" w:cstheme="majorHAnsi"/>
          <w:color w:val="000000"/>
        </w:rPr>
        <w:t>SWPS lub WAT, reprezentowany przez kierownika tego zespołu, złożony z osób, o których mowa w pkt 1.</w:t>
      </w:r>
    </w:p>
    <w:p w14:paraId="11A0155F" w14:textId="77777777" w:rsidR="00372AED" w:rsidRPr="00EF4DEF" w:rsidRDefault="007856B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Złożenie Wniosku w ramach Konkursu stanowi potwierdzenie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>, że:</w:t>
      </w:r>
    </w:p>
    <w:p w14:paraId="4560A3DF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line="259" w:lineRule="auto"/>
        <w:ind w:left="915" w:right="113" w:hanging="375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jest świadom swoich praw i obowiązków wynikających z postanowień Regulaminu oraz akceptuje je bez zastrzeżeń i zobowiązuje się do jego przestrzegania;</w:t>
      </w:r>
    </w:p>
    <w:p w14:paraId="277B6AFE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line="256" w:lineRule="auto"/>
        <w:ind w:left="915" w:right="113" w:hanging="375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prawa własności intelektualnej wnoszone do Projektu Grantowego należą do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albo co najmniej w 50% należy do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a w pozostałej części do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>;</w:t>
      </w:r>
    </w:p>
    <w:p w14:paraId="44C468F7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line="259" w:lineRule="auto"/>
        <w:ind w:left="915" w:right="111" w:hanging="375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prawa własności intelektualnej wnoszone do Projektu Grantowego, bez których nie jest </w:t>
      </w:r>
      <w:r w:rsidRPr="00EF4DEF">
        <w:rPr>
          <w:rFonts w:asciiTheme="majorHAnsi" w:hAnsiTheme="majorHAnsi" w:cstheme="majorHAnsi"/>
          <w:color w:val="000000"/>
        </w:rPr>
        <w:lastRenderedPageBreak/>
        <w:t xml:space="preserve">możliwe korzystanie z wyników Projektu Grantowego przez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Grantodawcę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na warunkach określonych      w      regulaminach      zarządzania      prawami      własności      intelektualnej  i komercjalizacji, nie będą posiadały żadnych wad prawnych, oraz że nie będą ograniczać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 ich   samodzielnego   lub   z   pomocą   osób   trzecich   rozwoju,   modyfikacji  i utrzymania;</w:t>
      </w:r>
    </w:p>
    <w:p w14:paraId="3DFBABA4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16"/>
        </w:tabs>
        <w:spacing w:line="259" w:lineRule="auto"/>
        <w:ind w:left="915" w:right="111" w:hanging="375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w przypadku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, o którym mowa w ust. 3 pkt 3, będącym zespołem naukowo- badawczym, kierownik tego  zespołu  reprezentujący  tego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Grantobiorcę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jest  umocowany w imieniu wszystkich osób wchodzących w skład zespołu naukowo-badawczego do złożenia Wniosku, a w razie potrzeby także innych oświadczeń niezbędnych do zakończenia Konkursu oraz realizacji Projektu Grantowego.</w:t>
      </w:r>
    </w:p>
    <w:p w14:paraId="7AF4793B" w14:textId="77777777" w:rsidR="00372AED" w:rsidRPr="00EF4DEF" w:rsidRDefault="007856B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0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Prawa majątkowe do wyników prac przedwdrożeniowych uzyskanych w ramach realizacji Projektu Grantowego, w tym prawo własności wszelkich wartości niematerialnych i prawnych nabytych lub wytworzonych w ramach realizacji Projektu Grantowego należą do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>.</w:t>
      </w:r>
    </w:p>
    <w:p w14:paraId="0FDBD7A7" w14:textId="77777777" w:rsidR="00372AED" w:rsidRPr="00EF4DEF" w:rsidRDefault="007856B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>, mają prawo do udziału w zyskach z komercjalizacji wyników badań naukowych lub prac rozwojowych powstałych w ramach realizacji Projektu Grantowego, na zasadach określonych w regulaminach zarządzania prawami własności intelektualnej i komercjalizacji. Wszelkie wydatki realizowane ze środków przeznaczonych do wykorzystania w ramach Grantu muszą być realizowane zgodnie z:</w:t>
      </w:r>
    </w:p>
    <w:p w14:paraId="7FECE806" w14:textId="77777777" w:rsidR="00372AED" w:rsidRPr="00EF4DEF" w:rsidRDefault="007856B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825"/>
          <w:tab w:val="left" w:pos="4191"/>
          <w:tab w:val="left" w:pos="7966"/>
        </w:tabs>
        <w:spacing w:line="259" w:lineRule="auto"/>
        <w:ind w:left="824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aktualnymi </w:t>
      </w:r>
      <w:r w:rsidRPr="00EF4DEF">
        <w:rPr>
          <w:rFonts w:asciiTheme="majorHAnsi" w:hAnsiTheme="majorHAnsi" w:cstheme="majorHAnsi"/>
        </w:rPr>
        <w:t>wytycznymi dotyczących kwalifikowalności wydatków na lata 2021 - 2027 zatwierdzonych przez Ministra Funduszy i Polityki Regionalnej z dnia 14 marca 2025 r. (</w:t>
      </w:r>
      <w:proofErr w:type="spellStart"/>
      <w:r w:rsidRPr="00EF4DEF">
        <w:rPr>
          <w:rFonts w:asciiTheme="majorHAnsi" w:hAnsiTheme="majorHAnsi" w:cstheme="majorHAnsi"/>
        </w:rPr>
        <w:t>MFiPR</w:t>
      </w:r>
      <w:proofErr w:type="spellEnd"/>
      <w:r w:rsidRPr="00EF4DEF">
        <w:rPr>
          <w:rFonts w:asciiTheme="majorHAnsi" w:hAnsiTheme="majorHAnsi" w:cstheme="majorHAnsi"/>
        </w:rPr>
        <w:t xml:space="preserve">/2021-2027/9(2)), </w:t>
      </w:r>
      <w:r w:rsidRPr="00EF4DEF">
        <w:rPr>
          <w:rFonts w:asciiTheme="majorHAnsi" w:hAnsiTheme="majorHAnsi" w:cstheme="majorHAnsi"/>
          <w:color w:val="000000"/>
        </w:rPr>
        <w:t xml:space="preserve"> które zamieszczone są na stronie internetowej:</w:t>
      </w:r>
      <w:hyperlink r:id="rId9">
        <w:r w:rsidRPr="00EF4DEF">
          <w:rPr>
            <w:rFonts w:asciiTheme="majorHAnsi" w:hAnsiTheme="majorHAnsi" w:cstheme="majorHAnsi"/>
            <w:color w:val="0562C1"/>
            <w:u w:val="single"/>
          </w:rPr>
          <w:t xml:space="preserve"> </w:t>
        </w:r>
      </w:hyperlink>
      <w:hyperlink r:id="rId10">
        <w:r w:rsidRPr="00EF4DEF">
          <w:rPr>
            <w:rFonts w:asciiTheme="majorHAnsi" w:eastAsia="Arial" w:hAnsiTheme="majorHAnsi" w:cstheme="majorHAnsi"/>
            <w:color w:val="1155CC"/>
            <w:highlight w:val="white"/>
            <w:u w:val="single"/>
          </w:rPr>
          <w:t>https://www.funduszeeuropejskie.gov.pl/strony/o-funduszach/dokumenty/wytyczne-dotyczace-kwalifikowalnosci-2021-2027/</w:t>
        </w:r>
      </w:hyperlink>
      <w:hyperlink r:id="rId11">
        <w:r w:rsidRPr="00EF4DEF">
          <w:rPr>
            <w:rFonts w:asciiTheme="majorHAnsi" w:hAnsiTheme="majorHAnsi" w:cstheme="majorHAnsi"/>
            <w:color w:val="0562C1"/>
          </w:rPr>
          <w:t xml:space="preserve"> </w:t>
        </w:r>
      </w:hyperlink>
      <w:r w:rsidRPr="00EF4DEF">
        <w:rPr>
          <w:rFonts w:asciiTheme="majorHAnsi" w:hAnsiTheme="majorHAnsi" w:cstheme="majorHAnsi"/>
          <w:color w:val="000000"/>
        </w:rPr>
        <w:t>oraz</w:t>
      </w:r>
    </w:p>
    <w:p w14:paraId="3E8E1D86" w14:textId="77777777" w:rsidR="00372AED" w:rsidRPr="00EF4DEF" w:rsidRDefault="007856B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825"/>
          <w:tab w:val="left" w:pos="2808"/>
          <w:tab w:val="left" w:pos="3846"/>
          <w:tab w:val="left" w:pos="5896"/>
          <w:tab w:val="left" w:pos="6729"/>
          <w:tab w:val="left" w:pos="7969"/>
        </w:tabs>
        <w:spacing w:line="259" w:lineRule="auto"/>
        <w:ind w:left="824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zasadami  konkursu  ogłoszonego  przez  Ministra  Nauki   i  Szkolnictwa   Wyższego   zgodnie z komunikatem z dnia</w:t>
      </w:r>
      <w:r w:rsidRPr="00EF4DEF">
        <w:rPr>
          <w:rFonts w:asciiTheme="majorHAnsi" w:hAnsiTheme="majorHAnsi" w:cstheme="majorHAnsi"/>
        </w:rPr>
        <w:t xml:space="preserve"> 26 kwietnia </w:t>
      </w:r>
      <w:r w:rsidRPr="00EF4DEF">
        <w:rPr>
          <w:rFonts w:asciiTheme="majorHAnsi" w:hAnsiTheme="majorHAnsi" w:cstheme="majorHAnsi"/>
          <w:color w:val="000000"/>
        </w:rPr>
        <w:t xml:space="preserve"> 202</w:t>
      </w:r>
      <w:r w:rsidRPr="00EF4DEF">
        <w:rPr>
          <w:rFonts w:asciiTheme="majorHAnsi" w:hAnsiTheme="majorHAnsi" w:cstheme="majorHAnsi"/>
        </w:rPr>
        <w:t>4</w:t>
      </w:r>
      <w:r w:rsidRPr="00EF4DEF">
        <w:rPr>
          <w:rFonts w:asciiTheme="majorHAnsi" w:hAnsiTheme="majorHAnsi" w:cstheme="majorHAnsi"/>
          <w:color w:val="000000"/>
        </w:rPr>
        <w:t xml:space="preserve"> roku o ustanowieniu programu pod nazwą „</w:t>
      </w:r>
      <w:r w:rsidRPr="00EF4DEF">
        <w:rPr>
          <w:rFonts w:asciiTheme="majorHAnsi" w:hAnsiTheme="majorHAnsi" w:cstheme="majorHAnsi"/>
          <w:b/>
        </w:rPr>
        <w:t>Science4Business - Nauka dla Biznesu</w:t>
      </w:r>
      <w:r w:rsidRPr="00EF4DEF">
        <w:rPr>
          <w:rFonts w:asciiTheme="majorHAnsi" w:hAnsiTheme="majorHAnsi" w:cstheme="majorHAnsi"/>
          <w:color w:val="000000"/>
        </w:rPr>
        <w:t>”, zamieszczonymi</w:t>
      </w:r>
      <w:r w:rsidRPr="00EF4DEF">
        <w:rPr>
          <w:rFonts w:asciiTheme="majorHAnsi" w:hAnsiTheme="majorHAnsi" w:cstheme="majorHAnsi"/>
          <w:color w:val="000000"/>
        </w:rPr>
        <w:tab/>
        <w:t>na</w:t>
      </w:r>
      <w:r w:rsidRPr="00EF4DEF">
        <w:rPr>
          <w:rFonts w:asciiTheme="majorHAnsi" w:hAnsiTheme="majorHAnsi" w:cstheme="majorHAnsi"/>
          <w:color w:val="000000"/>
        </w:rPr>
        <w:tab/>
        <w:t>stronie</w:t>
      </w:r>
      <w:r w:rsidRPr="00EF4DEF">
        <w:rPr>
          <w:rFonts w:asciiTheme="majorHAnsi" w:hAnsiTheme="majorHAnsi" w:cstheme="majorHAnsi"/>
        </w:rPr>
        <w:t xml:space="preserve"> </w:t>
      </w:r>
      <w:r w:rsidRPr="00EF4DEF">
        <w:rPr>
          <w:rFonts w:asciiTheme="majorHAnsi" w:hAnsiTheme="majorHAnsi" w:cstheme="majorHAnsi"/>
          <w:color w:val="000000"/>
        </w:rPr>
        <w:t>internetowej:</w:t>
      </w:r>
      <w:hyperlink r:id="rId12">
        <w:r w:rsidRPr="00EF4DEF">
          <w:rPr>
            <w:rFonts w:asciiTheme="majorHAnsi" w:hAnsiTheme="majorHAnsi" w:cstheme="majorHAnsi"/>
            <w:color w:val="000000"/>
          </w:rPr>
          <w:t xml:space="preserve"> </w:t>
        </w:r>
      </w:hyperlink>
      <w:hyperlink r:id="rId13">
        <w:r w:rsidRPr="00EF4DEF">
          <w:rPr>
            <w:rFonts w:asciiTheme="majorHAnsi" w:hAnsiTheme="majorHAnsi" w:cstheme="majorHAnsi"/>
          </w:rPr>
          <w:t>https://www.gov.pl/web/nauka/komunikat-ministra-nauki-o-przeprowadzeniu-naboru-na-partnerow-do-realizacji-zadania-nr-1-inkubator-rozwoju-w-ramach-projektu-pn-science4business---nauka-dla-biznesu</w:t>
        </w:r>
      </w:hyperlink>
      <w:hyperlink r:id="rId14">
        <w:r w:rsidRPr="00EF4DEF">
          <w:rPr>
            <w:rFonts w:asciiTheme="majorHAnsi" w:hAnsiTheme="majorHAnsi" w:cstheme="majorHAnsi"/>
            <w:color w:val="000000"/>
          </w:rPr>
          <w:t>.</w:t>
        </w:r>
      </w:hyperlink>
    </w:p>
    <w:p w14:paraId="6D0F7485" w14:textId="77777777" w:rsidR="00372AED" w:rsidRPr="00EF4DEF" w:rsidRDefault="007856B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Przedmiotem Projektu Grantowego mogą być wszelkie wyniki badań naukowych lub prac rozwojowych, które mogą podlegać komercjalizacji i wdrożeniu, zgodnie z zasadami Projektu, oraz takie, dla których łącznie spełnione są poniższe warunki:</w:t>
      </w:r>
    </w:p>
    <w:p w14:paraId="04F6002A" w14:textId="77777777" w:rsidR="00372AED" w:rsidRPr="00EF4DEF" w:rsidRDefault="007856B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ind w:left="968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prawa własności intelektualnej nie stanowią bariery do komercjalizacji przez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Grantodawcę</w:t>
      </w:r>
      <w:proofErr w:type="spellEnd"/>
    </w:p>
    <w:p w14:paraId="6C7109D2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21" w:line="259" w:lineRule="auto"/>
        <w:ind w:left="968" w:right="112"/>
        <w:jc w:val="both"/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  <w:color w:val="000000"/>
        </w:rPr>
        <w:t xml:space="preserve">– tj. jeśli realizacja Projektu Grantowego nie narusza praw osób trzecich lub jeśli prawa majątkowe do wyników badań naukowych lub prac rozwojowych zgłaszanych do Konkursu w całości należą  do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albo  jeśli  co  najmniej w  50%  należą  do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a w pozostałej części do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>;</w:t>
      </w:r>
    </w:p>
    <w:p w14:paraId="4792B0D4" w14:textId="77777777" w:rsidR="00372AED" w:rsidRPr="00EF4DEF" w:rsidRDefault="007856B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before="120"/>
        <w:ind w:left="968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dotychczas nie zostały skomercjalizowane;</w:t>
      </w:r>
    </w:p>
    <w:p w14:paraId="61969273" w14:textId="77777777" w:rsidR="00372AED" w:rsidRPr="00EF4DEF" w:rsidRDefault="007856B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ind w:left="968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odpowiadają na wyraźną potrzebę rynkową lub społeczną;</w:t>
      </w:r>
    </w:p>
    <w:p w14:paraId="687D3305" w14:textId="77777777" w:rsidR="00372AED" w:rsidRPr="00EF4DEF" w:rsidRDefault="007856B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6" w:lineRule="auto"/>
        <w:ind w:left="968" w:right="114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zaplanowane prace przedwdrożeniowe nie są jednocześnie objęte wsparciem w ramach innego projektu dofinansowanego ze środków krajowych lub europejskich;</w:t>
      </w:r>
    </w:p>
    <w:p w14:paraId="261B4094" w14:textId="77777777" w:rsidR="00372AED" w:rsidRPr="00EF4DEF" w:rsidRDefault="007856B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realizacja zaplanowanych prac przedwdrożeniowych nie potrwa dłużej niż do dnia 31 marca 2028 roku;</w:t>
      </w:r>
    </w:p>
    <w:p w14:paraId="7E89279B" w14:textId="77777777" w:rsidR="00372AED" w:rsidRPr="00EF4DEF" w:rsidRDefault="007856B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6" w:lineRule="auto"/>
        <w:ind w:left="968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tematyka Projektu Grantowego mieści się w Krajowych Inteligentnych Specjalizacjach wymienionych w załączniku nr 1 do niniejszego Regulaminu;</w:t>
      </w:r>
    </w:p>
    <w:p w14:paraId="6EC16E33" w14:textId="77203B93" w:rsidR="00372AED" w:rsidRPr="00EF4DEF" w:rsidRDefault="007856B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4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koszt zaplanowanych prac przedwdrożeniowych w ramach realizacji Projektu Grantowego, o ile dany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nie postanowił inaczej, nie  przekracza </w:t>
      </w:r>
      <w:r w:rsidR="00EF4DEF">
        <w:rPr>
          <w:rFonts w:asciiTheme="majorHAnsi" w:hAnsiTheme="majorHAnsi" w:cstheme="majorHAnsi"/>
        </w:rPr>
        <w:t>1</w:t>
      </w:r>
      <w:r w:rsidRPr="00EF4DEF">
        <w:rPr>
          <w:rFonts w:asciiTheme="majorHAnsi" w:hAnsiTheme="majorHAnsi" w:cstheme="majorHAnsi"/>
          <w:color w:val="000000"/>
        </w:rPr>
        <w:t xml:space="preserve">00 000,00  zł  netto.  Łączny budżet przeznaczony na finansowanie Projektów Grantowych w ramach Konkursu wynosi </w:t>
      </w:r>
      <w:r w:rsidRPr="00EF4DEF">
        <w:rPr>
          <w:rFonts w:asciiTheme="majorHAnsi" w:hAnsiTheme="majorHAnsi" w:cstheme="majorHAnsi"/>
        </w:rPr>
        <w:lastRenderedPageBreak/>
        <w:t>5.737.294</w:t>
      </w:r>
      <w:r w:rsidRPr="00EF4DEF">
        <w:rPr>
          <w:rFonts w:asciiTheme="majorHAnsi" w:hAnsiTheme="majorHAnsi" w:cstheme="majorHAnsi"/>
          <w:color w:val="000000"/>
        </w:rPr>
        <w:t xml:space="preserve"> zł netto, w tym:</w:t>
      </w:r>
    </w:p>
    <w:p w14:paraId="0DAD9557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budżet przeznaczony na finansowanie Projektów Grantowych realizowanych na </w:t>
      </w:r>
      <w:r w:rsidRPr="00EF4DEF">
        <w:rPr>
          <w:rFonts w:asciiTheme="majorHAnsi" w:hAnsiTheme="majorHAnsi" w:cstheme="majorHAnsi"/>
        </w:rPr>
        <w:t>PNT</w:t>
      </w:r>
      <w:r w:rsidRPr="00EF4DEF">
        <w:rPr>
          <w:rFonts w:asciiTheme="majorHAnsi" w:hAnsiTheme="majorHAnsi" w:cstheme="majorHAnsi"/>
          <w:color w:val="000000"/>
        </w:rPr>
        <w:t xml:space="preserve"> wynosi: </w:t>
      </w:r>
      <w:r w:rsidRPr="00EF4DEF">
        <w:rPr>
          <w:rFonts w:asciiTheme="majorHAnsi" w:hAnsiTheme="majorHAnsi" w:cstheme="majorHAnsi"/>
        </w:rPr>
        <w:t>1.550.004,00</w:t>
      </w:r>
      <w:r w:rsidRPr="00EF4DEF">
        <w:rPr>
          <w:rFonts w:asciiTheme="majorHAnsi" w:hAnsiTheme="majorHAnsi" w:cstheme="majorHAnsi"/>
          <w:color w:val="000000"/>
        </w:rPr>
        <w:t xml:space="preserve"> zł netto;</w:t>
      </w:r>
    </w:p>
    <w:p w14:paraId="5746D2FE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budżet    przeznaczony    na    finansowanie    Projektów     Grantowych     realizowanych    na </w:t>
      </w:r>
      <w:r w:rsidRPr="00EF4DEF">
        <w:rPr>
          <w:rFonts w:asciiTheme="majorHAnsi" w:hAnsiTheme="majorHAnsi" w:cstheme="majorHAnsi"/>
        </w:rPr>
        <w:t>SGGW</w:t>
      </w:r>
      <w:r w:rsidRPr="00EF4DEF">
        <w:rPr>
          <w:rFonts w:asciiTheme="majorHAnsi" w:hAnsiTheme="majorHAnsi" w:cstheme="majorHAnsi"/>
          <w:color w:val="000000"/>
        </w:rPr>
        <w:t xml:space="preserve"> wynosi: </w:t>
      </w:r>
      <w:r w:rsidRPr="00EF4DEF">
        <w:rPr>
          <w:rFonts w:asciiTheme="majorHAnsi" w:hAnsiTheme="majorHAnsi" w:cstheme="majorHAnsi"/>
        </w:rPr>
        <w:t xml:space="preserve">1.275.530,00 </w:t>
      </w:r>
      <w:r w:rsidRPr="00EF4DEF">
        <w:rPr>
          <w:rFonts w:asciiTheme="majorHAnsi" w:hAnsiTheme="majorHAnsi" w:cstheme="majorHAnsi"/>
          <w:color w:val="000000"/>
        </w:rPr>
        <w:t>zł netto</w:t>
      </w:r>
      <w:r w:rsidRPr="00EF4DEF">
        <w:rPr>
          <w:rFonts w:asciiTheme="majorHAnsi" w:hAnsiTheme="majorHAnsi" w:cstheme="majorHAnsi"/>
        </w:rPr>
        <w:t>;</w:t>
      </w:r>
    </w:p>
    <w:p w14:paraId="53193071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budżet przeznaczony na finansowanie Projektów Grantowych realizowanych na Uniwersytecie SWPS wynosi: 1.472.510,00 zł netto;</w:t>
      </w:r>
    </w:p>
    <w:p w14:paraId="0864348C" w14:textId="77777777" w:rsidR="00372AED" w:rsidRPr="00EF4DEF" w:rsidRDefault="007856B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69"/>
        </w:tabs>
        <w:spacing w:line="259" w:lineRule="auto"/>
        <w:ind w:left="968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budżet przeznaczony na finansowanie Projektów Grantowych realizowanych na WAT wynosi: 1.439.250,00 zł netto.</w:t>
      </w:r>
    </w:p>
    <w:p w14:paraId="07409C01" w14:textId="77777777" w:rsidR="00372AED" w:rsidRPr="00EF4DEF" w:rsidRDefault="007856B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 ramach Projektu VAT jest kosztem niekwalifikowanym.</w:t>
      </w:r>
    </w:p>
    <w:p w14:paraId="54AD8E3B" w14:textId="77777777" w:rsidR="00372AED" w:rsidRPr="00EF4DEF" w:rsidRDefault="007856BB">
      <w:pPr>
        <w:pStyle w:val="Nagwek1"/>
        <w:spacing w:before="142"/>
        <w:ind w:firstLine="582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§3</w:t>
      </w:r>
    </w:p>
    <w:p w14:paraId="21364C4C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80"/>
        <w:ind w:left="581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>Nabór Wniosków</w:t>
      </w:r>
    </w:p>
    <w:p w14:paraId="3B19B170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before="182"/>
        <w:ind w:left="543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Nabór Wniosków prowadzony będzie na zasadach określonych w niniejszym Regulaminie.</w:t>
      </w:r>
    </w:p>
    <w:p w14:paraId="63B8E782" w14:textId="2C8C8CD5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  celu  zgłoszenia  uczestnictwa  w  Konkursie  należy  złożyć  Wniosek  w  wersji  papierowej     z</w:t>
      </w:r>
      <w:r w:rsidR="003404AC">
        <w:rPr>
          <w:rFonts w:asciiTheme="majorHAnsi" w:hAnsiTheme="majorHAnsi" w:cstheme="majorHAnsi"/>
          <w:color w:val="000000"/>
        </w:rPr>
        <w:t> </w:t>
      </w:r>
      <w:r w:rsidRPr="00EF4DEF">
        <w:rPr>
          <w:rFonts w:asciiTheme="majorHAnsi" w:hAnsiTheme="majorHAnsi" w:cstheme="majorHAnsi"/>
          <w:color w:val="000000"/>
        </w:rPr>
        <w:t xml:space="preserve">podpisem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na  adres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="00BF7412">
        <w:rPr>
          <w:rFonts w:asciiTheme="majorHAnsi" w:hAnsiTheme="majorHAnsi" w:cstheme="majorHAnsi"/>
          <w:color w:val="000000"/>
        </w:rPr>
        <w:t xml:space="preserve"> </w:t>
      </w:r>
      <w:r w:rsidR="00BF7412">
        <w:rPr>
          <w:rFonts w:asciiTheme="majorHAnsi" w:hAnsiTheme="majorHAnsi" w:cstheme="majorHAnsi"/>
        </w:rPr>
        <w:t>w godz. 9-15</w:t>
      </w:r>
      <w:r w:rsidR="00BF7412" w:rsidRPr="00EF4DEF">
        <w:rPr>
          <w:rFonts w:asciiTheme="majorHAnsi" w:hAnsiTheme="majorHAnsi" w:cstheme="majorHAnsi"/>
        </w:rPr>
        <w:t>,</w:t>
      </w:r>
      <w:r w:rsidRPr="00EF4DEF">
        <w:rPr>
          <w:rFonts w:asciiTheme="majorHAnsi" w:hAnsiTheme="majorHAnsi" w:cstheme="majorHAnsi"/>
        </w:rPr>
        <w:t>,</w:t>
      </w:r>
      <w:r w:rsidRPr="00EF4DEF">
        <w:rPr>
          <w:rFonts w:asciiTheme="majorHAnsi" w:hAnsiTheme="majorHAnsi" w:cstheme="majorHAnsi"/>
          <w:color w:val="000000"/>
        </w:rPr>
        <w:t xml:space="preserve">  przesłać  skan  podpisanego  Wniosku   w formacie pliku pdf za pośrednictwem poczty elektronicznej lub </w:t>
      </w:r>
      <w:r w:rsidR="003404AC">
        <w:rPr>
          <w:rFonts w:asciiTheme="majorHAnsi" w:hAnsiTheme="majorHAnsi" w:cstheme="majorHAnsi"/>
          <w:color w:val="000000"/>
        </w:rPr>
        <w:t>formularza:</w:t>
      </w:r>
    </w:p>
    <w:p w14:paraId="6C2A0691" w14:textId="2BEE4702" w:rsidR="00372AED" w:rsidRDefault="003404A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9" w:lineRule="auto"/>
        <w:ind w:left="836" w:right="115" w:hanging="360"/>
        <w:jc w:val="both"/>
        <w:rPr>
          <w:rFonts w:asciiTheme="majorHAnsi" w:hAnsiTheme="majorHAnsi" w:cstheme="majorHAnsi"/>
        </w:rPr>
      </w:pPr>
      <w:hyperlink r:id="rId15" w:history="1">
        <w:r w:rsidRPr="00593A67">
          <w:rPr>
            <w:rStyle w:val="Hipercze"/>
            <w:rFonts w:asciiTheme="majorHAnsi" w:hAnsiTheme="majorHAnsi" w:cstheme="majorHAnsi"/>
          </w:rPr>
          <w:t>ctt@sggw.edu.pl</w:t>
        </w:r>
      </w:hyperlink>
    </w:p>
    <w:p w14:paraId="42816B32" w14:textId="6AD2760D" w:rsidR="003404AC" w:rsidRPr="00EF4DEF" w:rsidRDefault="003404A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9" w:lineRule="auto"/>
        <w:ind w:left="836" w:right="115" w:hanging="360"/>
        <w:jc w:val="both"/>
        <w:rPr>
          <w:rFonts w:asciiTheme="majorHAnsi" w:hAnsiTheme="majorHAnsi" w:cstheme="majorHAnsi"/>
        </w:rPr>
      </w:pPr>
      <w:hyperlink r:id="rId16" w:history="1">
        <w:r w:rsidRPr="00593A67">
          <w:rPr>
            <w:rStyle w:val="Hipercze"/>
            <w:rFonts w:asciiTheme="majorHAnsi" w:hAnsiTheme="majorHAnsi" w:cstheme="majorHAnsi"/>
          </w:rPr>
          <w:t>https://forms.office.com/e/wHLestZX4P</w:t>
        </w:r>
      </w:hyperlink>
      <w:r>
        <w:rPr>
          <w:rFonts w:asciiTheme="majorHAnsi" w:hAnsiTheme="majorHAnsi" w:cstheme="majorHAnsi"/>
        </w:rPr>
        <w:t xml:space="preserve"> </w:t>
      </w:r>
    </w:p>
    <w:p w14:paraId="517FC1DE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-46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Wzór Wniosku stanowi załącznik nr 2 do niniejszego Regulaminu. W Konkursie rozpatrywane będą wyłącznie Wnioski sporządzone zgodnie z wzorem, o którym mowa w zdaniu poprzedzającym.</w:t>
      </w:r>
    </w:p>
    <w:p w14:paraId="2D3D35CB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6" w:lineRule="auto"/>
        <w:ind w:left="543" w:right="-46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Nabór Wniosków prowadzony będzie w trybie zamkniętym.</w:t>
      </w:r>
    </w:p>
    <w:p w14:paraId="204585EA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ind w:left="543" w:right="-46" w:hanging="362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Organizator Konkursu zastrzega sobie prawo do wydłużenia terminu naboru Wniosków, jak</w:t>
      </w:r>
    </w:p>
    <w:p w14:paraId="262F1B54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22" w:line="259" w:lineRule="auto"/>
        <w:ind w:left="543"/>
        <w:jc w:val="both"/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  <w:color w:val="000000"/>
        </w:rPr>
        <w:t>również do zorganizowania dodatkowego naboru Wniosków – w terminie 12 miesięcy od dnia rozpoczęcia naboru, o którym mowa w ust. 4.</w:t>
      </w:r>
    </w:p>
    <w:p w14:paraId="78383DA1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2" w:line="259" w:lineRule="auto"/>
        <w:ind w:left="567" w:hanging="357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 xml:space="preserve">Organizator Konkursu zastrzega możliwość wprowadzenia ograniczenia wartości grantu oraz uruchomienia odrębnych ścieżek naborów z ograniczeniem wysokości finansowania (np. ścieżka do 80 </w:t>
      </w:r>
      <w:proofErr w:type="spellStart"/>
      <w:r w:rsidRPr="00EF4DEF">
        <w:rPr>
          <w:rFonts w:asciiTheme="majorHAnsi" w:hAnsiTheme="majorHAnsi" w:cstheme="majorHAnsi"/>
        </w:rPr>
        <w:t>tys</w:t>
      </w:r>
      <w:proofErr w:type="spellEnd"/>
      <w:r w:rsidRPr="00EF4DEF">
        <w:rPr>
          <w:rFonts w:asciiTheme="majorHAnsi" w:hAnsiTheme="majorHAnsi" w:cstheme="majorHAnsi"/>
        </w:rPr>
        <w:t xml:space="preserve"> złotych i przyznanie finansowania trzem wnioskom z listy rankingowej oraz ścieżki do 300 </w:t>
      </w:r>
      <w:proofErr w:type="spellStart"/>
      <w:r w:rsidRPr="00EF4DEF">
        <w:rPr>
          <w:rFonts w:asciiTheme="majorHAnsi" w:hAnsiTheme="majorHAnsi" w:cstheme="majorHAnsi"/>
        </w:rPr>
        <w:t>tys</w:t>
      </w:r>
      <w:proofErr w:type="spellEnd"/>
      <w:r w:rsidRPr="00EF4DEF">
        <w:rPr>
          <w:rFonts w:asciiTheme="majorHAnsi" w:hAnsiTheme="majorHAnsi" w:cstheme="majorHAnsi"/>
        </w:rPr>
        <w:t xml:space="preserve"> złotych z finansowaniem dla dwóch wniosków). Każda ścieżka będzie miała osobną listę rankingową wniosków z pracami B+R.</w:t>
      </w:r>
    </w:p>
    <w:p w14:paraId="20A13AB5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567" w:hanging="425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Wnioski złożone po terminie wskazanym w ust. 4 lub w ogłoszeniu o wydłużeniu naboru, lub w ogłoszeniu o naborze dodatkowym nie będą podlegały ocenie.</w:t>
      </w:r>
    </w:p>
    <w:p w14:paraId="6455F6E9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53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Ogłoszenia o naborze Wniosków będą publikowane w sposób przyjęty u danego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, umożliwiający zapoznanie się z jego treścią jak największej liczbie potencjalnych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>.</w:t>
      </w:r>
    </w:p>
    <w:p w14:paraId="50EE3B95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0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Grantodawca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jest zobowiązany załączyć do ogłoszenia o naborze Wniosków niniejszy Regulamin wraz z załącznikami, jak również zapewnić minimalny czas naboru Wniosków, który powinien wynosić nie mniej niż 30 dni kalendarzowych od dnia ogłoszenia naboru u danego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>.</w:t>
      </w:r>
    </w:p>
    <w:p w14:paraId="5E70B565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1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Grantodawca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zastrzega sobie prawo do odwołania lub nierozstrzygnięcia Konkursu w przypadku wstrzymania lub rezygnacji z realizacji Projektu.</w:t>
      </w:r>
    </w:p>
    <w:p w14:paraId="24EBBD9B" w14:textId="77777777" w:rsidR="00372AED" w:rsidRPr="00EF4DEF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6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CTT SGGW, </w:t>
      </w:r>
      <w:r w:rsidRPr="00EF4DEF">
        <w:rPr>
          <w:rFonts w:asciiTheme="majorHAnsi" w:hAnsiTheme="majorHAnsi" w:cstheme="majorHAnsi"/>
        </w:rPr>
        <w:t xml:space="preserve">CTT WAT, </w:t>
      </w:r>
      <w:r w:rsidRPr="00EF4DEF">
        <w:rPr>
          <w:rFonts w:asciiTheme="majorHAnsi" w:hAnsiTheme="majorHAnsi" w:cstheme="majorHAnsi"/>
          <w:color w:val="000000"/>
        </w:rPr>
        <w:t xml:space="preserve">CTW i PNT   oferują   wsparcie 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Grantobiorcom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 zainteresowanym   udziałem   w   Konkursie   w przygotowaniu Wniosków.</w:t>
      </w:r>
    </w:p>
    <w:p w14:paraId="02D5BBF4" w14:textId="77777777" w:rsidR="00372AED" w:rsidRPr="00F70B80" w:rsidRDefault="007856B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3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może w danym  naborze  Wniosków  złożyć  jeden  Wniosek  –  z  zastrzeżeniem,  że dopuszcza się wykazanie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jako członka zespołu naukowo-badawczego, o którym mowa w § 2 ust. 3 pkt 2, we Wniosku złożonym przez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Grantobiorcę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będącego zespołem naukowo-badawczym, w ramach tego samego naboru Wniosków.</w:t>
      </w:r>
    </w:p>
    <w:p w14:paraId="786E89F5" w14:textId="77777777" w:rsidR="00F70B80" w:rsidRDefault="00F70B80" w:rsidP="00F70B80">
      <w:p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right="113"/>
        <w:jc w:val="both"/>
        <w:rPr>
          <w:rFonts w:asciiTheme="majorHAnsi" w:hAnsiTheme="majorHAnsi" w:cstheme="majorHAnsi"/>
          <w:color w:val="000000"/>
        </w:rPr>
      </w:pPr>
    </w:p>
    <w:p w14:paraId="3FC0DD9E" w14:textId="77777777" w:rsidR="00F70B80" w:rsidRDefault="00F70B80" w:rsidP="00F70B80">
      <w:p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right="113"/>
        <w:jc w:val="both"/>
        <w:rPr>
          <w:rFonts w:asciiTheme="majorHAnsi" w:hAnsiTheme="majorHAnsi" w:cstheme="majorHAnsi"/>
          <w:color w:val="000000"/>
        </w:rPr>
      </w:pPr>
    </w:p>
    <w:p w14:paraId="371E2FCA" w14:textId="77777777" w:rsidR="00F70B80" w:rsidRPr="00EF4DEF" w:rsidRDefault="00F70B80" w:rsidP="00F70B80">
      <w:p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right="113"/>
        <w:jc w:val="both"/>
        <w:rPr>
          <w:rFonts w:asciiTheme="majorHAnsi" w:hAnsiTheme="majorHAnsi" w:cstheme="majorHAnsi"/>
        </w:rPr>
      </w:pPr>
    </w:p>
    <w:p w14:paraId="5C982E8B" w14:textId="77777777" w:rsidR="00372AED" w:rsidRPr="00EF4DEF" w:rsidRDefault="007856BB">
      <w:pPr>
        <w:pStyle w:val="Nagwek1"/>
        <w:spacing w:before="120"/>
        <w:ind w:firstLine="582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lastRenderedPageBreak/>
        <w:t>§4</w:t>
      </w:r>
    </w:p>
    <w:p w14:paraId="553E7F76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80"/>
        <w:ind w:left="581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>Ocena złożonych Wniosków</w:t>
      </w:r>
    </w:p>
    <w:p w14:paraId="59ACB11A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before="183"/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Wnioski złożone na PNT, SGGW,  Uniwersytecie SWPS i na WAT będą oceniane niezależnie.</w:t>
      </w:r>
    </w:p>
    <w:p w14:paraId="5113071D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Ocena złożonych Wniosków przeprowadzona zostanie w dwóch etapach:</w:t>
      </w:r>
    </w:p>
    <w:p w14:paraId="6204C71D" w14:textId="77777777" w:rsidR="00372AED" w:rsidRPr="00EF4DEF" w:rsidRDefault="007856B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9" w:lineRule="auto"/>
        <w:ind w:left="836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Etap I – weryfikacja Wniosków, dokonywana odpowiednio przez: Z</w:t>
      </w:r>
      <w:r w:rsidRPr="00EF4DEF">
        <w:rPr>
          <w:rFonts w:asciiTheme="majorHAnsi" w:hAnsiTheme="majorHAnsi" w:cstheme="majorHAnsi"/>
        </w:rPr>
        <w:t xml:space="preserve">espół Projektowy PNT, Zespół Projektowy SGGW, </w:t>
      </w:r>
      <w:r w:rsidRPr="00EF4DEF">
        <w:rPr>
          <w:rFonts w:asciiTheme="majorHAnsi" w:hAnsiTheme="majorHAnsi" w:cstheme="majorHAnsi"/>
          <w:color w:val="000000"/>
        </w:rPr>
        <w:t>Zespół Projektowy Uniwersytetu SWPS lub Zespół Projektowy WAT na podstawie karty oceny formalnej stanowiącej załącznik nr 3 do Regulaminu;</w:t>
      </w:r>
    </w:p>
    <w:p w14:paraId="6C578CBB" w14:textId="77777777" w:rsidR="00372AED" w:rsidRPr="00EF4DEF" w:rsidRDefault="007856B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6" w:lineRule="auto"/>
        <w:ind w:left="836" w:right="114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Etap II – ocena merytoryczna Wniosków, dokonywana przez Radę Inwestycyjną na podstawie karty oceny merytorycznej stanowiącej załącznik nr 4 do Regulaminu.</w:t>
      </w:r>
    </w:p>
    <w:p w14:paraId="75BEE308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W przypadku, gdy w związku z prowadzoną oceną formalną Wniosek wymaga uzupełnienia lub poprawy,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zostanie wezwany drogą elektroniczną (e-mailem), na adres  wskazany  w formularzu jako kontaktowy, do uzupełnienia lub poprawy Wniosku w terminie 14 dni kalendarzowych od dnia otrzymania wezwania. W przypadku nieuzupełnienia braków formalnych Wniosku w wyznaczonym terminie, Wniosek pozostawia się bez dalszego rozpoznania.</w:t>
      </w:r>
    </w:p>
    <w:p w14:paraId="3718A8E9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Wnioski, które pozytywnie przejdą weryfikację formalną zostaną przedłożone do oceny merytorycznej, której dokona Rada Inwestycyjna. W przypadku uzupełnienia Wniosku, dokonanego na Etapie I wniosek podlega ocenie w wersji uzupełnionej.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zostaną poinformowani o przekazaniu wniosków do oceny merytorycznej.</w:t>
      </w:r>
    </w:p>
    <w:p w14:paraId="4814C7FD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Rada Inwestycyjna w ramach oceny Wniosku, w szczególności w celu wyjaśnienia wątpliwości dotyczących treści Wniosku, może poprosić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Grantobiorcę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o przedstawienie prezentacji na temat rozwiązania objętego Wnioskiem.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o terminie prezentacji przed Radą Inwestycyjną zostaje powiadomiony co najmniej z 7-dniowym wyprzedzeniem. Prezentacja może być przedstawiona on-line z wykorzystaniem środków komunikacji elektronicznej. W jej przygotowaniu mogą pomóc odpowiednio: CTT SGGW, CTT WAT, CTW i PNT.</w:t>
      </w:r>
    </w:p>
    <w:p w14:paraId="60490A7A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Jeśli z jakichkolwiek przyczyn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nie przedstawi prezentacji, o której mowa w ust. 5, Rada  Inwestycyjna  oceni  Wniosek  wyłącznie  na  podstawie  jego  treści,   co   może   skutkować przyznaniem mniejszej liczby punktów.</w:t>
      </w:r>
    </w:p>
    <w:p w14:paraId="6D23D4CA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Stosowane przy ocenie Wniosków kryteria i skala ocen są tożsame z podanymi w załączniku nr 4 do Regulaminu.  Końcowa  punktacja  Wniosku  zostanie  obliczona  jako  średnia  arytmetyczna  z łącznych ocen przyznanych przez wszystkich członków Rady Inwestycyjnej dla danego Wniosku.</w:t>
      </w:r>
    </w:p>
    <w:p w14:paraId="12A74DDC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Rada Inwestycyjna dokonuje oceny Wniosków, po zapoznaniu się ze wszystkimi Wnioskami złożonymi 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oraz ewentualnie, w oparciu o prezentacje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jeżeli były one przedstawiane zgodnie z ust. 5, kierując się dbałością o właściwą realizację założonych wskaźników Projektu Grantowego. W przypadku uznania wybranych wydatków przedstawionych we Wniosku za niezasadne lub przeszacowane w stosunku do cen rynkowych, Rada Inwestycyjna może zarekomendować zmniejszenie kwoty Grantu w stosunku do kwoty wnioskowanej.</w:t>
      </w:r>
    </w:p>
    <w:p w14:paraId="3762A9CB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0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Na podstawie przekazanych przez Radę Inwestycyjną ocen poszczególnych Wniosków ustalane są listy rankingowe Wniosków zgłoszonych przez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odrębnie dla każ</w:t>
      </w:r>
      <w:r w:rsidRPr="00EF4DEF">
        <w:rPr>
          <w:rFonts w:asciiTheme="majorHAnsi" w:hAnsiTheme="majorHAnsi" w:cstheme="majorHAnsi"/>
        </w:rPr>
        <w:t xml:space="preserve">dego członka konsorcjum, czyli dla </w:t>
      </w:r>
      <w:r w:rsidRPr="00EF4DEF">
        <w:rPr>
          <w:rFonts w:asciiTheme="majorHAnsi" w:hAnsiTheme="majorHAnsi" w:cstheme="majorHAnsi"/>
          <w:color w:val="000000"/>
        </w:rPr>
        <w:t xml:space="preserve"> PNT, dla SGGW,  dla Uniwe</w:t>
      </w:r>
      <w:r w:rsidRPr="00EF4DEF">
        <w:rPr>
          <w:rFonts w:asciiTheme="majorHAnsi" w:hAnsiTheme="majorHAnsi" w:cstheme="majorHAnsi"/>
        </w:rPr>
        <w:t xml:space="preserve">rsytetu </w:t>
      </w:r>
      <w:r w:rsidRPr="00EF4DEF">
        <w:rPr>
          <w:rFonts w:asciiTheme="majorHAnsi" w:hAnsiTheme="majorHAnsi" w:cstheme="majorHAnsi"/>
          <w:color w:val="000000"/>
        </w:rPr>
        <w:t>SWPS i dla WAT.</w:t>
      </w:r>
    </w:p>
    <w:p w14:paraId="5F18A56A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6" w:lineRule="auto"/>
        <w:ind w:left="541" w:right="117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Decyzję w sprawie przyznania Grantu, tj. decyzję o przyznaniu Grantu lub decyzję o odmowie przyznania Grantu, wydaje Rada Inwestycyjna.</w:t>
      </w:r>
    </w:p>
    <w:p w14:paraId="4F8EB716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otrzymają pisemnie lub drogą elektroniczną, tj. za pośrednictwem adresu poczty e- mail wskazanego we Wniosku jako e-mail kontaktowy,  decyzję w sprawie przyznania Grantu     w terminie do 60 dni od dnia przekazania Wniosku do oceny Radzie Inwestycyjnej.</w:t>
      </w:r>
    </w:p>
    <w:p w14:paraId="3112B031" w14:textId="77777777" w:rsidR="00372AED" w:rsidRPr="00EF4DEF" w:rsidRDefault="007856B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Od decyzji w sprawie przyznania Grantu nie przysługuje odwołanie.</w:t>
      </w:r>
    </w:p>
    <w:p w14:paraId="34FE228A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</w:p>
    <w:p w14:paraId="147FE0B3" w14:textId="77777777" w:rsidR="00372AED" w:rsidRDefault="00372AED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Theme="majorHAnsi" w:hAnsiTheme="majorHAnsi" w:cstheme="majorHAnsi"/>
          <w:color w:val="000000"/>
        </w:rPr>
      </w:pPr>
    </w:p>
    <w:p w14:paraId="693D20CE" w14:textId="77777777" w:rsidR="00603141" w:rsidRDefault="00603141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Theme="majorHAnsi" w:hAnsiTheme="majorHAnsi" w:cstheme="majorHAnsi"/>
          <w:color w:val="000000"/>
        </w:rPr>
      </w:pPr>
    </w:p>
    <w:p w14:paraId="1BAB775B" w14:textId="77777777" w:rsidR="00603141" w:rsidRPr="00EF4DEF" w:rsidRDefault="00603141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Theme="majorHAnsi" w:hAnsiTheme="majorHAnsi" w:cstheme="majorHAnsi"/>
          <w:color w:val="000000"/>
        </w:rPr>
      </w:pPr>
    </w:p>
    <w:p w14:paraId="08DC0155" w14:textId="77777777" w:rsidR="00372AED" w:rsidRPr="00EF4DEF" w:rsidRDefault="007856BB">
      <w:pPr>
        <w:pStyle w:val="Nagwek1"/>
        <w:spacing w:before="1"/>
        <w:ind w:firstLine="582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§5</w:t>
      </w:r>
    </w:p>
    <w:p w14:paraId="7B2BC63C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80"/>
        <w:ind w:left="581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>Zasady przyznania Grantu</w:t>
      </w:r>
    </w:p>
    <w:p w14:paraId="5960DA04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before="183" w:line="259" w:lineRule="auto"/>
        <w:ind w:left="543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Grant  przyznany  zostanie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Grantobiorcom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na  realizację  Projektów  Grantowych  w  oparciu     o Wnioski, które otrzymały co najmniej 60 % maksymalnej liczby punktów oraz </w:t>
      </w:r>
      <w:r w:rsidRPr="00EF4DEF">
        <w:rPr>
          <w:rFonts w:asciiTheme="majorHAnsi" w:hAnsiTheme="majorHAnsi" w:cstheme="majorHAnsi"/>
        </w:rPr>
        <w:t xml:space="preserve">muszą otrzymać co </w:t>
      </w:r>
      <w:r w:rsidRPr="00EF4DEF">
        <w:rPr>
          <w:rFonts w:asciiTheme="majorHAnsi" w:hAnsiTheme="majorHAnsi" w:cstheme="majorHAnsi"/>
          <w:color w:val="000000"/>
        </w:rPr>
        <w:t xml:space="preserve">najmniej </w:t>
      </w:r>
      <w:r w:rsidRPr="00EF4DEF">
        <w:rPr>
          <w:rFonts w:asciiTheme="majorHAnsi" w:hAnsiTheme="majorHAnsi" w:cstheme="majorHAnsi"/>
        </w:rPr>
        <w:t xml:space="preserve">jeden punkt w każdym </w:t>
      </w:r>
      <w:r w:rsidRPr="00EF4DEF">
        <w:rPr>
          <w:rFonts w:asciiTheme="majorHAnsi" w:hAnsiTheme="majorHAnsi" w:cstheme="majorHAnsi"/>
          <w:color w:val="000000"/>
        </w:rPr>
        <w:t>kryteri</w:t>
      </w:r>
      <w:r w:rsidRPr="00EF4DEF">
        <w:rPr>
          <w:rFonts w:asciiTheme="majorHAnsi" w:hAnsiTheme="majorHAnsi" w:cstheme="majorHAnsi"/>
        </w:rPr>
        <w:t>um</w:t>
      </w:r>
      <w:r w:rsidRPr="00EF4DEF">
        <w:rPr>
          <w:rFonts w:asciiTheme="majorHAnsi" w:hAnsiTheme="majorHAnsi" w:cstheme="majorHAnsi"/>
          <w:color w:val="000000"/>
        </w:rPr>
        <w:t xml:space="preserve"> kluczo</w:t>
      </w:r>
      <w:r w:rsidRPr="00EF4DEF">
        <w:rPr>
          <w:rFonts w:asciiTheme="majorHAnsi" w:hAnsiTheme="majorHAnsi" w:cstheme="majorHAnsi"/>
        </w:rPr>
        <w:t>wym wskazanym w załączniku nr 3 – “Karta oceny formalnej i merytorycznej wniosku o przyznanie Grantu na prace przedwdrożeniowe”</w:t>
      </w:r>
      <w:r w:rsidRPr="00EF4DEF">
        <w:rPr>
          <w:rFonts w:asciiTheme="majorHAnsi" w:hAnsiTheme="majorHAnsi" w:cstheme="majorHAnsi"/>
          <w:color w:val="000000"/>
        </w:rPr>
        <w:t xml:space="preserve"> i znajdą się na najwyższych miejscach list rankingowych, do wyczerpania  łącznego  budżetu  przeznaczonego na finansowanie Projektów Grantowych w ramach Konkursu, zgodnie z § 2 ust. 8.</w:t>
      </w:r>
    </w:p>
    <w:p w14:paraId="7398ACC8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7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 ramach przyznanego Grantu pokryte mogą zostać koszty związane z wykonaniem prac przedwdrożeniowych przewidzianych we Wniosku.</w:t>
      </w:r>
    </w:p>
    <w:p w14:paraId="432972FC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W ramach Grantu mogą być finansowane koszty usług zewnętrznych zlecanych na podstawie umów cywilnoprawnych podmiotom  gospodarczym  lub  osobom  fizycznym  niezatrudnionym  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, wyłonionym zgodnie z zasadami udzielania zamówień publicznych obowiązującymi 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>.</w:t>
      </w:r>
    </w:p>
    <w:p w14:paraId="282D10FA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4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Grant     może     być      przeznaczony      na      realizację      Projektu      Grantowego      zgodnie   z Wnioskiem, w tym m.in. na:</w:t>
      </w:r>
    </w:p>
    <w:p w14:paraId="63F12215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ind w:left="901" w:hanging="361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zakup lub amortyzację środków trwałych (max. 10% wartości Grantu);</w:t>
      </w:r>
    </w:p>
    <w:p w14:paraId="34B5629C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  <w:tab w:val="left" w:pos="1661"/>
          <w:tab w:val="left" w:pos="2180"/>
          <w:tab w:val="left" w:pos="3658"/>
          <w:tab w:val="left" w:pos="4764"/>
          <w:tab w:val="left" w:pos="5661"/>
          <w:tab w:val="left" w:pos="7062"/>
          <w:tab w:val="left" w:pos="7456"/>
          <w:tab w:val="left" w:pos="8039"/>
        </w:tabs>
        <w:spacing w:line="256" w:lineRule="auto"/>
        <w:ind w:left="901" w:right="115" w:hanging="360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zakup</w:t>
      </w:r>
      <w:r w:rsidRPr="00EF4DEF">
        <w:rPr>
          <w:rFonts w:asciiTheme="majorHAnsi" w:hAnsiTheme="majorHAnsi" w:cstheme="majorHAnsi"/>
          <w:color w:val="000000"/>
        </w:rPr>
        <w:tab/>
        <w:t>lub</w:t>
      </w:r>
      <w:r w:rsidRPr="00EF4DEF">
        <w:rPr>
          <w:rFonts w:asciiTheme="majorHAnsi" w:hAnsiTheme="majorHAnsi" w:cstheme="majorHAnsi"/>
          <w:color w:val="000000"/>
        </w:rPr>
        <w:tab/>
        <w:t>wypożyczenie</w:t>
      </w:r>
      <w:r w:rsidRPr="00EF4DEF">
        <w:rPr>
          <w:rFonts w:asciiTheme="majorHAnsi" w:hAnsiTheme="majorHAnsi" w:cstheme="majorHAnsi"/>
          <w:color w:val="000000"/>
        </w:rPr>
        <w:tab/>
        <w:t>drobnego</w:t>
      </w:r>
      <w:r w:rsidRPr="00EF4DEF">
        <w:rPr>
          <w:rFonts w:asciiTheme="majorHAnsi" w:hAnsiTheme="majorHAnsi" w:cstheme="majorHAnsi"/>
          <w:color w:val="000000"/>
        </w:rPr>
        <w:tab/>
        <w:t>sprzętu</w:t>
      </w:r>
      <w:r w:rsidRPr="00EF4DEF">
        <w:rPr>
          <w:rFonts w:asciiTheme="majorHAnsi" w:hAnsiTheme="majorHAnsi" w:cstheme="majorHAnsi"/>
          <w:color w:val="000000"/>
        </w:rPr>
        <w:tab/>
        <w:t>badawczego,</w:t>
      </w:r>
      <w:r w:rsidRPr="00EF4DEF">
        <w:rPr>
          <w:rFonts w:asciiTheme="majorHAnsi" w:hAnsiTheme="majorHAnsi" w:cstheme="majorHAnsi"/>
          <w:color w:val="000000"/>
        </w:rPr>
        <w:tab/>
        <w:t>w</w:t>
      </w:r>
      <w:r w:rsidRPr="00EF4DEF">
        <w:rPr>
          <w:rFonts w:asciiTheme="majorHAnsi" w:hAnsiTheme="majorHAnsi" w:cstheme="majorHAnsi"/>
          <w:color w:val="000000"/>
        </w:rPr>
        <w:tab/>
        <w:t>tym</w:t>
      </w:r>
      <w:r w:rsidRPr="00EF4DEF">
        <w:rPr>
          <w:rFonts w:asciiTheme="majorHAnsi" w:hAnsiTheme="majorHAnsi" w:cstheme="majorHAnsi"/>
          <w:color w:val="000000"/>
        </w:rPr>
        <w:tab/>
        <w:t>wyposażenia laboratoryjnego;</w:t>
      </w:r>
    </w:p>
    <w:p w14:paraId="2D94D27D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spacing w:line="259" w:lineRule="auto"/>
        <w:ind w:left="901" w:right="115" w:hanging="360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opracowanie oprogramowania specjalistycznego lub zakup licencji na oprogramowanie specjalistyczne;</w:t>
      </w:r>
    </w:p>
    <w:p w14:paraId="415BDAC1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ind w:left="901" w:hanging="361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zakup materiałów i surowców – z wyłączeniem materiałów biurowych;</w:t>
      </w:r>
    </w:p>
    <w:p w14:paraId="7BE3F3AE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ind w:left="901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pokrycie kosztów odpłatnego wynajmu aparatury badawczej;</w:t>
      </w:r>
    </w:p>
    <w:p w14:paraId="730844AE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ind w:left="901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zamówienie usług badawczych, analiz, badań, raportów oraz ekspertyz;</w:t>
      </w:r>
    </w:p>
    <w:p w14:paraId="1F3FCBC3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spacing w:line="259" w:lineRule="auto"/>
        <w:ind w:left="901" w:right="116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zakup opracowań, wydawnictw oraz dostępu do zbiorów informacji (baz danych, źródeł informacji, profesjonalnych opracowań);</w:t>
      </w:r>
    </w:p>
    <w:p w14:paraId="6D78B7C0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spacing w:line="259" w:lineRule="auto"/>
        <w:ind w:left="901" w:right="113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koszty  ochrony  prawnej  wyników  badań  naukowych  i  prac   rozwojowych,  dla  których  w ramach Grantu planowane jest podniesienie poziomu TRL, w tym koszty rzecznika patentowego;</w:t>
      </w:r>
    </w:p>
    <w:p w14:paraId="4B2E3EA1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spacing w:line="259" w:lineRule="auto"/>
        <w:ind w:left="901" w:right="114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zakup danych, analiz i informacji potrzebnych do przygotowania oferty wdrożenia wyników prac przedwdrożeniowych, w tym pozyskania finansowania na dalsze etapy procesu badawczo-rozwojowego;</w:t>
      </w:r>
    </w:p>
    <w:p w14:paraId="48258652" w14:textId="77777777" w:rsidR="00372AED" w:rsidRPr="00EF4DEF" w:rsidRDefault="007856BB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2"/>
        </w:tabs>
        <w:ind w:left="901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pokrycie kosztów związanych z promocją wyników prac badawczo-rozwojowych.</w:t>
      </w:r>
    </w:p>
    <w:p w14:paraId="629EDDD7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Koszty wynagrodzeń personelu badawczego zaangażowanego w realizację Projektu Grantowego są kosztem niekwalifikowanym.</w:t>
      </w:r>
    </w:p>
    <w:p w14:paraId="03B16A16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Koszty wynagrodzeń personelu badawczego zaangażowanego w realizację badań naukowych lub prac rozwojowych, poniesione na opracowanie wyników badań naukowych i prac rozwojowych, które były podstawą do zaplanowania prac przedwdrożeniowych, nie są kosztem kwalifikowanym i nie mogą zostać sfinansowane w ramach przyznanego Grantu.</w:t>
      </w:r>
    </w:p>
    <w:p w14:paraId="483F6D76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5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Dodatkowo, w   ramach   Projektu   każdy 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 może    zgłaszać   chęć   skorzystania  z następujących form dodatkowego wsparcia:</w:t>
      </w:r>
    </w:p>
    <w:p w14:paraId="44572CCC" w14:textId="77777777" w:rsidR="00372AED" w:rsidRPr="00EF4DEF" w:rsidRDefault="007856B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6" w:lineRule="auto"/>
        <w:ind w:left="836" w:right="111" w:hanging="360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uczestnictwo w spotkaniach panelowych ekspertów mających na celu integrację środowiska nauki i biznesu,</w:t>
      </w:r>
    </w:p>
    <w:p w14:paraId="5F5E5B49" w14:textId="77777777" w:rsidR="00372AED" w:rsidRPr="00EF4DEF" w:rsidRDefault="007856B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9" w:lineRule="auto"/>
        <w:ind w:left="836" w:right="116" w:hanging="360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wystawienie na polskich i międzynarodowych targach typu science to business oraz udział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w misjach gospodarczych,</w:t>
      </w:r>
    </w:p>
    <w:p w14:paraId="41E0DCCE" w14:textId="77777777" w:rsidR="00372AED" w:rsidRPr="00EF4DEF" w:rsidRDefault="007856B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9" w:lineRule="auto"/>
        <w:ind w:left="836" w:right="114" w:hanging="360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prezentacja rozwiązania będącego przedmiotem Projektu Grantowego w bazach ofert na stron</w:t>
      </w:r>
      <w:r w:rsidRPr="00EF4DEF">
        <w:rPr>
          <w:rFonts w:asciiTheme="majorHAnsi" w:hAnsiTheme="majorHAnsi" w:cstheme="majorHAnsi"/>
        </w:rPr>
        <w:t xml:space="preserve">ach PNT, SGGW, Uniwersytetu SWPS i </w:t>
      </w:r>
      <w:r w:rsidRPr="00EF4DEF">
        <w:rPr>
          <w:rFonts w:asciiTheme="majorHAnsi" w:hAnsiTheme="majorHAnsi" w:cstheme="majorHAnsi"/>
          <w:color w:val="000000"/>
        </w:rPr>
        <w:t>WAT.</w:t>
      </w:r>
    </w:p>
    <w:p w14:paraId="6A83AA24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lastRenderedPageBreak/>
        <w:t xml:space="preserve">Podstawą przyznania Grantu jest pozytywna ocena Rady oraz miejsce na liście rankingowej, pod warunkiem </w:t>
      </w:r>
      <w:r w:rsidRPr="00EF4DEF">
        <w:rPr>
          <w:rFonts w:asciiTheme="majorHAnsi" w:hAnsiTheme="majorHAnsi" w:cstheme="majorHAnsi"/>
        </w:rPr>
        <w:t>niewyczerpania środków finansowych w ramach danej ścieżki.</w:t>
      </w:r>
    </w:p>
    <w:p w14:paraId="58232914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Okres kwalifikowalności wydatków w Projekcie </w:t>
      </w:r>
      <w:r w:rsidRPr="00EF4DEF">
        <w:rPr>
          <w:rFonts w:asciiTheme="majorHAnsi" w:hAnsiTheme="majorHAnsi" w:cstheme="majorHAnsi"/>
        </w:rPr>
        <w:t>Grantowym</w:t>
      </w:r>
      <w:r w:rsidRPr="00EF4DEF">
        <w:rPr>
          <w:rFonts w:asciiTheme="majorHAnsi" w:hAnsiTheme="majorHAnsi" w:cstheme="majorHAnsi"/>
          <w:color w:val="000000"/>
        </w:rPr>
        <w:t xml:space="preserve"> rozpoczyna się z dniem określonym  w decyzji o przyznaniu Grantu i trwa nie dłużej niż do dnia zakończenia działań opisanych we Wniosku.</w:t>
      </w:r>
    </w:p>
    <w:p w14:paraId="57EBC3B9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4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Grant przyznany na realizację Projektu Grantowego można wykorzystać przez okres wskazany we Wniosku, jednakże nie dłużej niż na 9 miesięcy prze</w:t>
      </w:r>
      <w:r w:rsidRPr="00EF4DEF">
        <w:rPr>
          <w:rFonts w:asciiTheme="majorHAnsi" w:hAnsiTheme="majorHAnsi" w:cstheme="majorHAnsi"/>
        </w:rPr>
        <w:t>d datą zakończenia projektu.</w:t>
      </w:r>
    </w:p>
    <w:p w14:paraId="0AC079C9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Pozostałe formy wsparcia w ramach Projektu, o których mowa w § 5 ust. 7 mogą być udzielone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do końca trwania Projektu lub do wyczerpania budżetu Projektu.</w:t>
      </w:r>
    </w:p>
    <w:p w14:paraId="150CC4E0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Wysokość udzielonego Grantu oraz okres realizacji Projektu Grantowego mogą zostać zmienione w czasie realizacji Projektu, na podstawie zmiany decyzji o przyznaniu Grantu.</w:t>
      </w:r>
    </w:p>
    <w:p w14:paraId="25E98956" w14:textId="77777777" w:rsidR="00372AED" w:rsidRPr="00EF4DEF" w:rsidRDefault="007856B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6" w:lineRule="auto"/>
        <w:ind w:left="541" w:right="113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Prace przedwdrożeniowe będące przedmiotem Projektu Grantowego nie mogą być finansowane w ramach innych środków.</w:t>
      </w:r>
    </w:p>
    <w:p w14:paraId="0B46786B" w14:textId="77777777" w:rsidR="00372AED" w:rsidRPr="00EF4DEF" w:rsidRDefault="007856BB">
      <w:pPr>
        <w:pStyle w:val="Nagwek1"/>
        <w:spacing w:before="123"/>
        <w:ind w:firstLine="582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§6</w:t>
      </w:r>
    </w:p>
    <w:p w14:paraId="298661FC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83"/>
        <w:ind w:left="580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 xml:space="preserve">Prawa i obowiązki </w:t>
      </w:r>
      <w:proofErr w:type="spellStart"/>
      <w:r w:rsidRPr="00EF4DEF">
        <w:rPr>
          <w:rFonts w:asciiTheme="majorHAnsi" w:hAnsiTheme="majorHAnsi" w:cstheme="majorHAnsi"/>
          <w:b/>
          <w:color w:val="000000"/>
        </w:rPr>
        <w:t>Grantobiorców</w:t>
      </w:r>
      <w:proofErr w:type="spellEnd"/>
    </w:p>
    <w:p w14:paraId="2369D478" w14:textId="77777777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before="180" w:line="259" w:lineRule="auto"/>
        <w:ind w:left="541" w:right="112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jest   zobowiązany   sumiennie   i   terminowo   wypełniać   obowiązki   wynikające z niniejszego Regulaminu i realizować  działania  dotyczące  prac  przedwdrożeniowych  zgodnie z zaakceptowanym Wnioskiem.</w:t>
      </w:r>
    </w:p>
    <w:p w14:paraId="2E08C3DB" w14:textId="77777777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Realizacja prac przedwdrożeniowych w ramach Projektów Grantowych odbywa się pod nadzorem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>, w imieniu którego nadzór będzie prowadził odpowiednio CTT SGGW, CT</w:t>
      </w:r>
      <w:r w:rsidRPr="00EF4DEF">
        <w:rPr>
          <w:rFonts w:asciiTheme="majorHAnsi" w:hAnsiTheme="majorHAnsi" w:cstheme="majorHAnsi"/>
        </w:rPr>
        <w:t>T</w:t>
      </w:r>
      <w:r w:rsidRPr="00EF4DEF">
        <w:rPr>
          <w:rFonts w:asciiTheme="majorHAnsi" w:hAnsiTheme="majorHAnsi" w:cstheme="majorHAnsi"/>
          <w:color w:val="000000"/>
        </w:rPr>
        <w:t xml:space="preserve"> WAT, CTW lub </w:t>
      </w:r>
      <w:r w:rsidRPr="00EF4DEF">
        <w:rPr>
          <w:rFonts w:asciiTheme="majorHAnsi" w:hAnsiTheme="majorHAnsi" w:cstheme="majorHAnsi"/>
        </w:rPr>
        <w:t>PNT.</w:t>
      </w:r>
    </w:p>
    <w:p w14:paraId="214E6E3E" w14:textId="3BE9A432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zobowiązany jest dokonywać zakupów w ramach przyznanej kwoty Grantu zgodnie z harmonogramem  i kosztorysem zawartym we  Wniosku oraz właściwymi przepisami prawa       i</w:t>
      </w:r>
      <w:r w:rsidR="0028133C">
        <w:rPr>
          <w:rFonts w:asciiTheme="majorHAnsi" w:hAnsiTheme="majorHAnsi" w:cstheme="majorHAnsi"/>
          <w:color w:val="000000"/>
        </w:rPr>
        <w:t> </w:t>
      </w:r>
      <w:r w:rsidRPr="00EF4DEF">
        <w:rPr>
          <w:rFonts w:asciiTheme="majorHAnsi" w:hAnsiTheme="majorHAnsi" w:cstheme="majorHAnsi"/>
          <w:color w:val="000000"/>
        </w:rPr>
        <w:t xml:space="preserve">zasadami obowiązującymi u danego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dotyczącymi udzielania zamówień publicznych</w:t>
      </w:r>
    </w:p>
    <w:p w14:paraId="58E81784" w14:textId="77777777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2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jest zobowiązany dokonywać bieżącego rozliczania wydatków w ramach kwoty Grantu, co następuje poprzez dostarczenie CTT SGGW, </w:t>
      </w:r>
      <w:r w:rsidRPr="00EF4DEF">
        <w:rPr>
          <w:rFonts w:asciiTheme="majorHAnsi" w:hAnsiTheme="majorHAnsi" w:cstheme="majorHAnsi"/>
        </w:rPr>
        <w:t xml:space="preserve">CTT WAT, </w:t>
      </w:r>
      <w:r w:rsidRPr="00EF4DEF">
        <w:rPr>
          <w:rFonts w:asciiTheme="majorHAnsi" w:hAnsiTheme="majorHAnsi" w:cstheme="majorHAnsi"/>
          <w:color w:val="000000"/>
        </w:rPr>
        <w:t>CTW i PNT kompletu dokumentów związanych        z zakupem danej usługi lub towaru niezbędnych do jego rozliczenia wraz z niezbędnym opisem wydatku, w terminie nie dłuższym niż 5 dni od daty dokonania zakupu lub odbioru usługi lub towaru.</w:t>
      </w:r>
    </w:p>
    <w:p w14:paraId="5ADAF85F" w14:textId="77777777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2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</w:rPr>
        <w:t>Grantobiorca</w:t>
      </w:r>
      <w:proofErr w:type="spellEnd"/>
      <w:r w:rsidRPr="00EF4DEF">
        <w:rPr>
          <w:rFonts w:asciiTheme="majorHAnsi" w:hAnsiTheme="majorHAnsi" w:cstheme="majorHAnsi"/>
        </w:rPr>
        <w:t xml:space="preserve"> jest zobowiązany do nie udzielania zamówień oraz do niepodejmowania współpracy z Partnerami działającymi w ramach projektu „Science4Business - Nauka dla Biznesu”. Pełna lista partnerów znajduje się pod linkiem: </w:t>
      </w:r>
      <w:hyperlink r:id="rId17">
        <w:r w:rsidRPr="00EF4DEF">
          <w:rPr>
            <w:rFonts w:asciiTheme="majorHAnsi" w:eastAsia="Arial" w:hAnsiTheme="majorHAnsi" w:cstheme="majorHAnsi"/>
            <w:color w:val="1155CC"/>
            <w:highlight w:val="white"/>
            <w:u w:val="single"/>
          </w:rPr>
          <w:t>https://www.gov.pl/web/nauka/wyniki-naboru-na-partnerow-do-realizacji-zadania</w:t>
        </w:r>
      </w:hyperlink>
    </w:p>
    <w:p w14:paraId="1D77310D" w14:textId="77777777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3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w terminie </w:t>
      </w:r>
      <w:r w:rsidRPr="00EF4DEF">
        <w:rPr>
          <w:rFonts w:asciiTheme="majorHAnsi" w:hAnsiTheme="majorHAnsi" w:cstheme="majorHAnsi"/>
        </w:rPr>
        <w:t>20</w:t>
      </w:r>
      <w:r w:rsidRPr="00EF4DEF">
        <w:rPr>
          <w:rFonts w:asciiTheme="majorHAnsi" w:hAnsiTheme="majorHAnsi" w:cstheme="majorHAnsi"/>
          <w:color w:val="000000"/>
        </w:rPr>
        <w:t xml:space="preserve"> dni od zakończenia realizacji Projektu Grantowego jest zobowiązany do złożenia Sprawozdania z realizacji Projektu Grantowego, odpowiednio do CTT, SGGW, CTT WAT,  CTW lub</w:t>
      </w:r>
      <w:r w:rsidRPr="00EF4DEF">
        <w:rPr>
          <w:rFonts w:asciiTheme="majorHAnsi" w:hAnsiTheme="majorHAnsi" w:cstheme="majorHAnsi"/>
        </w:rPr>
        <w:t xml:space="preserve"> PNT</w:t>
      </w:r>
      <w:r w:rsidRPr="00EF4DEF">
        <w:rPr>
          <w:rFonts w:asciiTheme="majorHAnsi" w:hAnsiTheme="majorHAnsi" w:cstheme="majorHAnsi"/>
          <w:color w:val="000000"/>
        </w:rPr>
        <w:t>. Wzór Sprawozdania stanowi załącznik nr 5 do niniejszego Regulaminu.</w:t>
      </w:r>
    </w:p>
    <w:p w14:paraId="00A17FB7" w14:textId="77777777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2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jest zobowiązany do informowania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, bez zbędnej zwłoki, o problemach związanych z realizacją Grantu. W przypadku wystąpienia okoliczności uzasadniających przerwanie lub wydłużenie okresu realizacji Grantu, których nie można było przewidzieć na etapie składania Wniosku,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jest zobowiązany poinformować o tym właściwego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Grantodawcę</w:t>
      </w:r>
      <w:proofErr w:type="spellEnd"/>
      <w:r w:rsidRPr="00EF4DEF">
        <w:rPr>
          <w:rFonts w:asciiTheme="majorHAnsi" w:hAnsiTheme="majorHAnsi" w:cstheme="majorHAnsi"/>
          <w:color w:val="000000"/>
        </w:rPr>
        <w:t>. W przypadku przerwania Grantu wydatki uprzednio poniesione na jego realizację będą uznane za kwalifikowane pod warunkiem spełnienia pozostałych warunków</w:t>
      </w:r>
    </w:p>
    <w:p w14:paraId="4EAD479A" w14:textId="43F8D2BF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57" w:line="256" w:lineRule="auto"/>
        <w:ind w:left="543" w:right="112"/>
        <w:jc w:val="both"/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  <w:color w:val="000000"/>
        </w:rPr>
        <w:t xml:space="preserve">kwalifikowalności  i  złożenia  przez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Grantobiorcę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Sprawozdania,  o  którym  mowa  w  ust.  5,   w</w:t>
      </w:r>
      <w:r w:rsidR="00CD4FAA">
        <w:rPr>
          <w:rFonts w:asciiTheme="majorHAnsi" w:hAnsiTheme="majorHAnsi" w:cstheme="majorHAnsi"/>
          <w:color w:val="000000"/>
        </w:rPr>
        <w:t> </w:t>
      </w:r>
      <w:r w:rsidRPr="00EF4DEF">
        <w:rPr>
          <w:rFonts w:asciiTheme="majorHAnsi" w:hAnsiTheme="majorHAnsi" w:cstheme="majorHAnsi"/>
          <w:color w:val="000000"/>
        </w:rPr>
        <w:t xml:space="preserve">terminie 30 dni od dnia poinformowania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o przerwaniu realizacji Grantu.</w:t>
      </w:r>
    </w:p>
    <w:p w14:paraId="68A0BAA8" w14:textId="77777777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before="123" w:line="259" w:lineRule="auto"/>
        <w:ind w:left="543" w:right="110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jest zobowiązany przechowywać i archiwizować dokumentację związaną z realizacją Projektu Grantowego oraz zobowiązuje się ją udostępniać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Grantodawcom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na każde ich żądanie, w szczególności w przypadku przeprowadzania kontroli lub audytu realizacji Projektu przez </w:t>
      </w:r>
      <w:r w:rsidRPr="00EF4DEF">
        <w:rPr>
          <w:rFonts w:asciiTheme="majorHAnsi" w:hAnsiTheme="majorHAnsi" w:cstheme="majorHAnsi"/>
          <w:color w:val="000000"/>
        </w:rPr>
        <w:lastRenderedPageBreak/>
        <w:t>upoważnione do tego podmioty.</w:t>
      </w:r>
    </w:p>
    <w:p w14:paraId="7925B0EB" w14:textId="151178D2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1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jest zobowiązany udzielać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wszelkich wyjaśnień i informacji w zakresie realizowanego Projektu Grantowego, w tym dotyczących działań przewidzianych do</w:t>
      </w:r>
      <w:r w:rsidR="00CD4FAA">
        <w:rPr>
          <w:rFonts w:asciiTheme="majorHAnsi" w:hAnsiTheme="majorHAnsi" w:cstheme="majorHAnsi"/>
          <w:color w:val="000000"/>
        </w:rPr>
        <w:t> </w:t>
      </w:r>
      <w:r w:rsidRPr="00EF4DEF">
        <w:rPr>
          <w:rFonts w:asciiTheme="majorHAnsi" w:hAnsiTheme="majorHAnsi" w:cstheme="majorHAnsi"/>
          <w:color w:val="000000"/>
        </w:rPr>
        <w:t>sfinansowania w ramach Grantu.</w:t>
      </w:r>
    </w:p>
    <w:p w14:paraId="36012B2C" w14:textId="77777777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5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jest zobowiązany dołożyć należytej staranności, aby prace przedwdrożeniowe oraz inne działania finansowane w ramach Grantu dążyły do stworzenia produktu lub usługi na tyle gotowej do komercjalizacji, aby wzbudzić zainteresowanie potencjalnego nabywcy i aby prowadziły do skutecznej ich komercjalizacji.</w:t>
      </w:r>
    </w:p>
    <w:p w14:paraId="65E1FDF1" w14:textId="00B06A56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5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</w:rPr>
        <w:t>Grantobiorca</w:t>
      </w:r>
      <w:proofErr w:type="spellEnd"/>
      <w:r w:rsidRPr="00EF4DEF">
        <w:rPr>
          <w:rFonts w:asciiTheme="majorHAnsi" w:hAnsiTheme="majorHAnsi" w:cstheme="majorHAnsi"/>
        </w:rPr>
        <w:t xml:space="preserve"> jest zobowiązany do czynnego udziału w przygotowaniu efektów Grantu do</w:t>
      </w:r>
      <w:r w:rsidR="00CD4FAA">
        <w:rPr>
          <w:rFonts w:asciiTheme="majorHAnsi" w:hAnsiTheme="majorHAnsi" w:cstheme="majorHAnsi"/>
        </w:rPr>
        <w:t> </w:t>
      </w:r>
      <w:r w:rsidRPr="00EF4DEF">
        <w:rPr>
          <w:rFonts w:asciiTheme="majorHAnsi" w:hAnsiTheme="majorHAnsi" w:cstheme="majorHAnsi"/>
        </w:rPr>
        <w:t>procesów komercjalizacji Grantu.</w:t>
      </w:r>
    </w:p>
    <w:p w14:paraId="29D7E0EA" w14:textId="1EA83A94" w:rsidR="00372AED" w:rsidRPr="00EF4DEF" w:rsidRDefault="007856B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3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Grantodawca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jest uprawniony do cofnięcia decyzji o przyznaniu Grantu i wstrzymania dalszego finansowania  Grantu,  w  przypadku,  gdy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uchybia  obowiązkom  przewidzianym w</w:t>
      </w:r>
      <w:r w:rsidR="00CD4FAA">
        <w:rPr>
          <w:rFonts w:asciiTheme="majorHAnsi" w:hAnsiTheme="majorHAnsi" w:cstheme="majorHAnsi"/>
          <w:color w:val="000000"/>
        </w:rPr>
        <w:t> </w:t>
      </w:r>
      <w:r w:rsidRPr="00EF4DEF">
        <w:rPr>
          <w:rFonts w:asciiTheme="majorHAnsi" w:hAnsiTheme="majorHAnsi" w:cstheme="majorHAnsi"/>
          <w:color w:val="000000"/>
        </w:rPr>
        <w:t>niniejszym Regulaminie, w szczególności:</w:t>
      </w:r>
    </w:p>
    <w:p w14:paraId="59DC4D18" w14:textId="32F36663" w:rsidR="00372AED" w:rsidRPr="00EF4DEF" w:rsidRDefault="007856BB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9" w:lineRule="auto"/>
        <w:ind w:left="836" w:right="113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dokonuje   wyboru   dostawcy   towarów    lub    usług    w    Grancie   w    sposób    sprzeczny z</w:t>
      </w:r>
      <w:r w:rsidR="00CD4FAA">
        <w:rPr>
          <w:rFonts w:asciiTheme="majorHAnsi" w:hAnsiTheme="majorHAnsi" w:cstheme="majorHAnsi"/>
          <w:color w:val="000000"/>
        </w:rPr>
        <w:t> </w:t>
      </w:r>
      <w:r w:rsidRPr="00EF4DEF">
        <w:rPr>
          <w:rFonts w:asciiTheme="majorHAnsi" w:hAnsiTheme="majorHAnsi" w:cstheme="majorHAnsi"/>
          <w:color w:val="000000"/>
        </w:rPr>
        <w:t xml:space="preserve">obowiązującymi przepisami prawa, wytycznymi lub wewnętrznymi zasadami właściwego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>, które znajdują zastosowanie do wydatkowania środków przyznanych w ramach Grantu;</w:t>
      </w:r>
    </w:p>
    <w:p w14:paraId="7386749F" w14:textId="77777777" w:rsidR="00372AED" w:rsidRPr="00EF4DEF" w:rsidRDefault="007856BB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6" w:lineRule="auto"/>
        <w:ind w:left="836" w:right="116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zaprzestał realizacji Projektu Grantowego i nie poinformował o tym właściwego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>;</w:t>
      </w:r>
    </w:p>
    <w:p w14:paraId="0834EEFA" w14:textId="77777777" w:rsidR="00372AED" w:rsidRPr="00EF4DEF" w:rsidRDefault="007856BB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837"/>
        </w:tabs>
        <w:spacing w:line="259" w:lineRule="auto"/>
        <w:ind w:left="836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bez uzgodnienia z właściwym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Grantodawcą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zmodyfikował zakres i cel prac przedwdrożeniowych w ramach realizacji Projektu Grantowego w stosunku do pierwotnie zaplanowanych we Wniosku.</w:t>
      </w:r>
    </w:p>
    <w:p w14:paraId="71C09FFE" w14:textId="77777777" w:rsidR="00372AED" w:rsidRPr="00EF4DEF" w:rsidRDefault="007856BB">
      <w:pPr>
        <w:pStyle w:val="Nagwek1"/>
        <w:spacing w:before="160"/>
        <w:ind w:firstLine="582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§7</w:t>
      </w:r>
    </w:p>
    <w:p w14:paraId="05C6D5CD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83"/>
        <w:ind w:left="581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 xml:space="preserve">Obowiązki </w:t>
      </w:r>
      <w:proofErr w:type="spellStart"/>
      <w:r w:rsidRPr="00EF4DEF">
        <w:rPr>
          <w:rFonts w:asciiTheme="majorHAnsi" w:hAnsiTheme="majorHAnsi" w:cstheme="majorHAnsi"/>
          <w:b/>
          <w:color w:val="000000"/>
        </w:rPr>
        <w:t>Grantodawców</w:t>
      </w:r>
      <w:proofErr w:type="spellEnd"/>
    </w:p>
    <w:p w14:paraId="3804DD22" w14:textId="59676A01" w:rsidR="00372AED" w:rsidRPr="00EF4DEF" w:rsidRDefault="007856B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before="180" w:line="259" w:lineRule="auto"/>
        <w:ind w:left="541" w:right="113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zobowiązują się do pokrycia wydatków związanych z realizacją prac przedwdrożeniowych  przewidzianych  we   Wnioskach,   zakwalifikowanych   do   finansowania w</w:t>
      </w:r>
      <w:r w:rsidR="00CD4FAA">
        <w:rPr>
          <w:rFonts w:asciiTheme="majorHAnsi" w:hAnsiTheme="majorHAnsi" w:cstheme="majorHAnsi"/>
          <w:color w:val="000000"/>
        </w:rPr>
        <w:t> </w:t>
      </w:r>
      <w:r w:rsidRPr="00EF4DEF">
        <w:rPr>
          <w:rFonts w:asciiTheme="majorHAnsi" w:hAnsiTheme="majorHAnsi" w:cstheme="majorHAnsi"/>
          <w:color w:val="000000"/>
        </w:rPr>
        <w:t>ramach przyznanych Grantów, o ile zakup usług i towarów nastąpił zgodnie z zatwierdzonym Wnioskiem i niniejszym Regulaminem.</w:t>
      </w:r>
    </w:p>
    <w:p w14:paraId="2DA43C04" w14:textId="77777777" w:rsidR="00372AED" w:rsidRPr="00EF4DEF" w:rsidRDefault="007856B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W przypadku zgłoszenia przez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Grantobiorcę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potrzeby uzyskania wsparcia w przygotowaniu Wniosku oraz prezentacji przed Radą Inwestycyjną, jak również wsparcia w koordynacji zadań realizowanych w ramach Projektu Grantowego, </w:t>
      </w:r>
      <w:r w:rsidRPr="00EF4DEF">
        <w:rPr>
          <w:rFonts w:asciiTheme="majorHAnsi" w:hAnsiTheme="majorHAnsi" w:cstheme="majorHAnsi"/>
        </w:rPr>
        <w:t xml:space="preserve">Zespół Projektowy PNT, Zespół Projektowy SGGW, </w:t>
      </w:r>
      <w:r w:rsidRPr="00EF4DEF">
        <w:rPr>
          <w:rFonts w:asciiTheme="majorHAnsi" w:hAnsiTheme="majorHAnsi" w:cstheme="majorHAnsi"/>
          <w:color w:val="000000"/>
        </w:rPr>
        <w:t>Zespół Projektowy Uniwersytetu SWPS lub Zespół Projektowy WAT zobowiązany jest takiej pomocy udzielić.</w:t>
      </w:r>
    </w:p>
    <w:p w14:paraId="109F370E" w14:textId="77777777" w:rsidR="00372AED" w:rsidRPr="00EF4DEF" w:rsidRDefault="007856B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3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Grantodawca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zobowiązuje się udzielać wszelkich informacji i wyjaśnień na temat Konkursu zainteresowanym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Grantobiorcom</w:t>
      </w:r>
      <w:proofErr w:type="spellEnd"/>
      <w:r w:rsidRPr="00EF4DEF">
        <w:rPr>
          <w:rFonts w:asciiTheme="majorHAnsi" w:hAnsiTheme="majorHAnsi" w:cstheme="majorHAnsi"/>
          <w:color w:val="000000"/>
        </w:rPr>
        <w:t>.</w:t>
      </w:r>
    </w:p>
    <w:p w14:paraId="470FC025" w14:textId="7FD16495" w:rsidR="00372AED" w:rsidRPr="00EF4DEF" w:rsidRDefault="007856B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6" w:lineRule="auto"/>
        <w:ind w:left="541" w:right="116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zobowiązują się  wspierać 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Grantobiorców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 w  udzielaniu  zamówień  publicznych  w</w:t>
      </w:r>
      <w:r w:rsidR="00CD4FAA">
        <w:rPr>
          <w:rFonts w:asciiTheme="majorHAnsi" w:hAnsiTheme="majorHAnsi" w:cstheme="majorHAnsi"/>
          <w:color w:val="000000"/>
        </w:rPr>
        <w:t> </w:t>
      </w:r>
      <w:r w:rsidRPr="00EF4DEF">
        <w:rPr>
          <w:rFonts w:asciiTheme="majorHAnsi" w:hAnsiTheme="majorHAnsi" w:cstheme="majorHAnsi"/>
          <w:color w:val="000000"/>
        </w:rPr>
        <w:t xml:space="preserve">ramach Grantów – w zakresie każdorazowo uzgodnionym z danym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Grantobiorcą</w:t>
      </w:r>
      <w:proofErr w:type="spellEnd"/>
      <w:r w:rsidRPr="00EF4DEF">
        <w:rPr>
          <w:rFonts w:asciiTheme="majorHAnsi" w:hAnsiTheme="majorHAnsi" w:cstheme="majorHAnsi"/>
          <w:color w:val="000000"/>
        </w:rPr>
        <w:t>.</w:t>
      </w:r>
    </w:p>
    <w:p w14:paraId="424B1DCA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rFonts w:asciiTheme="majorHAnsi" w:hAnsiTheme="majorHAnsi" w:cstheme="majorHAnsi"/>
          <w:color w:val="000000"/>
        </w:rPr>
      </w:pPr>
    </w:p>
    <w:p w14:paraId="4C3482E8" w14:textId="77777777" w:rsidR="00EF4DEF" w:rsidRDefault="00EF4DEF">
      <w:pPr>
        <w:pStyle w:val="Nagwek1"/>
        <w:spacing w:before="57"/>
        <w:ind w:firstLine="582"/>
        <w:rPr>
          <w:rFonts w:asciiTheme="majorHAnsi" w:hAnsiTheme="majorHAnsi" w:cstheme="majorHAnsi"/>
        </w:rPr>
      </w:pPr>
    </w:p>
    <w:p w14:paraId="56C299C2" w14:textId="572F49F1" w:rsidR="00372AED" w:rsidRPr="00EF4DEF" w:rsidRDefault="007856BB">
      <w:pPr>
        <w:pStyle w:val="Nagwek1"/>
        <w:spacing w:before="57"/>
        <w:ind w:firstLine="582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</w:rPr>
        <w:t>§8</w:t>
      </w:r>
    </w:p>
    <w:p w14:paraId="02919D58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180"/>
        <w:ind w:left="581" w:right="581"/>
        <w:jc w:val="center"/>
        <w:rPr>
          <w:rFonts w:asciiTheme="majorHAnsi" w:hAnsiTheme="majorHAnsi" w:cstheme="majorHAnsi"/>
          <w:b/>
          <w:color w:val="000000"/>
        </w:rPr>
      </w:pPr>
      <w:r w:rsidRPr="00EF4DEF">
        <w:rPr>
          <w:rFonts w:asciiTheme="majorHAnsi" w:hAnsiTheme="majorHAnsi" w:cstheme="majorHAnsi"/>
          <w:b/>
          <w:color w:val="000000"/>
        </w:rPr>
        <w:t>Pozostałe postanowienia</w:t>
      </w:r>
    </w:p>
    <w:p w14:paraId="274DE1BB" w14:textId="77777777" w:rsidR="00372AED" w:rsidRPr="00EF4DEF" w:rsidRDefault="007856B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before="180" w:line="259" w:lineRule="auto"/>
        <w:ind w:left="541" w:right="111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Wszystkie dane i informacje zawarte w składanych Wnioskach są traktowane jako informacje poufne i mogą być wykorzystane wyłącznie w zakresie niezbędnym do przeprowadzenia Konkursu i realizacji zadań przewidzianych niniejszym Regulaminem.</w:t>
      </w:r>
    </w:p>
    <w:p w14:paraId="71D99594" w14:textId="77777777" w:rsidR="00372AED" w:rsidRPr="00EF4DEF" w:rsidRDefault="007856B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6" w:lineRule="auto"/>
        <w:ind w:left="541" w:right="114" w:hanging="358"/>
        <w:jc w:val="both"/>
        <w:rPr>
          <w:rFonts w:asciiTheme="majorHAnsi" w:hAnsiTheme="majorHAnsi" w:cstheme="majorHAnsi"/>
        </w:rPr>
      </w:pP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zastrzegają sobie prawo do ewentualnej zmiany treści niniejszego Regulaminu. Zmiana Regulaminu każdorazowo zostanie ogłoszona w sposób przyjęty 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>.</w:t>
      </w:r>
    </w:p>
    <w:p w14:paraId="434C4D05" w14:textId="023DD52F" w:rsidR="00372AED" w:rsidRPr="00EF4DEF" w:rsidRDefault="007856B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2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W sprawach nieuregulowanych w niniejszym Regulaminie, decyzje podejmuje dyrektor CTT </w:t>
      </w:r>
      <w:r w:rsidRPr="00EF4DEF">
        <w:rPr>
          <w:rFonts w:asciiTheme="majorHAnsi" w:hAnsiTheme="majorHAnsi" w:cstheme="majorHAnsi"/>
          <w:color w:val="000000"/>
        </w:rPr>
        <w:lastRenderedPageBreak/>
        <w:t>SGGW, CTT WAT</w:t>
      </w:r>
      <w:r w:rsidRPr="00EF4DEF">
        <w:rPr>
          <w:rFonts w:asciiTheme="majorHAnsi" w:hAnsiTheme="majorHAnsi" w:cstheme="majorHAnsi"/>
        </w:rPr>
        <w:t xml:space="preserve">, </w:t>
      </w:r>
      <w:r w:rsidRPr="00EF4DEF">
        <w:rPr>
          <w:rFonts w:asciiTheme="majorHAnsi" w:hAnsiTheme="majorHAnsi" w:cstheme="majorHAnsi"/>
          <w:color w:val="000000"/>
        </w:rPr>
        <w:t xml:space="preserve">CTW lub </w:t>
      </w:r>
      <w:r w:rsidRPr="00EF4DEF">
        <w:rPr>
          <w:rFonts w:asciiTheme="majorHAnsi" w:hAnsiTheme="majorHAnsi" w:cstheme="majorHAnsi"/>
        </w:rPr>
        <w:t>prezes PNT</w:t>
      </w:r>
      <w:r w:rsidRPr="00EF4DEF">
        <w:rPr>
          <w:rFonts w:asciiTheme="majorHAnsi" w:hAnsiTheme="majorHAnsi" w:cstheme="majorHAnsi"/>
          <w:color w:val="000000"/>
        </w:rPr>
        <w:t>, przy uwzględnieniu wytycznych Ministerstwa Nauki i</w:t>
      </w:r>
      <w:r w:rsidR="00F70B80">
        <w:rPr>
          <w:rFonts w:asciiTheme="majorHAnsi" w:hAnsiTheme="majorHAnsi" w:cstheme="majorHAnsi"/>
          <w:color w:val="000000"/>
        </w:rPr>
        <w:t> </w:t>
      </w:r>
      <w:r w:rsidRPr="00EF4DEF">
        <w:rPr>
          <w:rFonts w:asciiTheme="majorHAnsi" w:hAnsiTheme="majorHAnsi" w:cstheme="majorHAnsi"/>
          <w:color w:val="000000"/>
        </w:rPr>
        <w:t>Szkolnictwa Wyższego dotyczących programu „</w:t>
      </w:r>
      <w:r w:rsidRPr="00EF4DEF">
        <w:rPr>
          <w:rFonts w:asciiTheme="majorHAnsi" w:hAnsiTheme="majorHAnsi" w:cstheme="majorHAnsi"/>
        </w:rPr>
        <w:t>Science4Business</w:t>
      </w:r>
      <w:r w:rsidRPr="00EF4DEF">
        <w:rPr>
          <w:rFonts w:asciiTheme="majorHAnsi" w:hAnsiTheme="majorHAnsi" w:cstheme="majorHAnsi"/>
          <w:color w:val="000000"/>
        </w:rPr>
        <w:t xml:space="preserve">”, wewnętrznych regulacji obowiązujących u danego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Grantodawcy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oraz przepisów prawa polskiego powszechnie obowiązującego.</w:t>
      </w:r>
    </w:p>
    <w:p w14:paraId="61339534" w14:textId="77777777" w:rsidR="00372AED" w:rsidRPr="00EF4DEF" w:rsidRDefault="007856B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spacing w:line="259" w:lineRule="auto"/>
        <w:ind w:left="541" w:right="113" w:hanging="358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 xml:space="preserve">Jeżeli w wyniku nienależytej realizacji przez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Grantobiorcę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działań przewidzianych we Wniosku </w:t>
      </w:r>
      <w:proofErr w:type="spellStart"/>
      <w:r w:rsidRPr="00EF4DEF">
        <w:rPr>
          <w:rFonts w:asciiTheme="majorHAnsi" w:hAnsiTheme="majorHAnsi" w:cstheme="majorHAnsi"/>
          <w:color w:val="000000"/>
        </w:rPr>
        <w:t>Grantodawca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poniesie szkodę (w szczególności zostanie zobowiązany do zwrotu części środków przekazanych mu w ramach realizacji Projektu Grantowego), </w:t>
      </w:r>
      <w:proofErr w:type="spellStart"/>
      <w:r w:rsidRPr="00EF4DEF">
        <w:rPr>
          <w:rFonts w:asciiTheme="majorHAnsi" w:hAnsiTheme="majorHAnsi" w:cstheme="majorHAnsi"/>
          <w:color w:val="000000"/>
        </w:rPr>
        <w:t>Grantobiorca</w:t>
      </w:r>
      <w:proofErr w:type="spellEnd"/>
      <w:r w:rsidRPr="00EF4DEF">
        <w:rPr>
          <w:rFonts w:asciiTheme="majorHAnsi" w:hAnsiTheme="majorHAnsi" w:cstheme="majorHAnsi"/>
          <w:color w:val="000000"/>
        </w:rPr>
        <w:t xml:space="preserve"> może zostać zobowiązany do jej naprawienia.</w:t>
      </w:r>
    </w:p>
    <w:p w14:paraId="12EFC44F" w14:textId="77777777" w:rsidR="00372AED" w:rsidRPr="00EF4DEF" w:rsidRDefault="007856B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542"/>
        </w:tabs>
        <w:ind w:left="541" w:hanging="359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Integralną część Regulaminu stanowią załączniki do Regulaminu:</w:t>
      </w:r>
    </w:p>
    <w:p w14:paraId="134ACB11" w14:textId="77777777" w:rsidR="00372AED" w:rsidRDefault="00372AE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color w:val="000000"/>
        </w:rPr>
      </w:pPr>
    </w:p>
    <w:p w14:paraId="337AB352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3B1349E3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065036AF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3689BFC6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4E67E088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45358D6C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54819952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5FD24BC4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349E3E65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02118913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057BBE8C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63D13F4E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7768F96D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54988FEA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55A14B88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29D0D5DA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29E9B4CE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3325C844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218DE458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053D70B0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4DC88E48" w14:textId="77777777" w:rsid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7947B00E" w14:textId="77777777" w:rsidR="00A33DAF" w:rsidRDefault="00A33DAF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</w:p>
    <w:p w14:paraId="319769AF" w14:textId="1168B72B" w:rsidR="00F70B80" w:rsidRPr="00F70B80" w:rsidRDefault="00F70B8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b/>
          <w:bCs/>
          <w:color w:val="000000"/>
        </w:rPr>
      </w:pPr>
      <w:r w:rsidRPr="00F70B80">
        <w:rPr>
          <w:rFonts w:asciiTheme="majorHAnsi" w:hAnsiTheme="majorHAnsi" w:cstheme="majorHAnsi"/>
          <w:b/>
          <w:bCs/>
          <w:color w:val="000000"/>
        </w:rPr>
        <w:t>Załączniki</w:t>
      </w:r>
    </w:p>
    <w:p w14:paraId="375CFFC7" w14:textId="77777777" w:rsidR="00372AED" w:rsidRPr="00EF4DEF" w:rsidRDefault="00372AED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rFonts w:asciiTheme="majorHAnsi" w:hAnsiTheme="majorHAnsi" w:cstheme="majorHAnsi"/>
          <w:color w:val="000000"/>
        </w:rPr>
      </w:pPr>
    </w:p>
    <w:p w14:paraId="05CD3C67" w14:textId="77777777" w:rsidR="00372AED" w:rsidRPr="00EF4DEF" w:rsidRDefault="007856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0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załącznik nr 1 – Wykaz Krajowych Inteligentnych Specjalizacji wspieranych w ramach Konkursu o przyznanie Grantu na prace przedwdrożeniowe w ramach projektu „</w:t>
      </w:r>
      <w:r w:rsidRPr="00EF4DEF">
        <w:rPr>
          <w:rFonts w:asciiTheme="majorHAnsi" w:hAnsiTheme="majorHAnsi" w:cstheme="majorHAnsi"/>
        </w:rPr>
        <w:t>Science4Business - Nauka dla Biznesu”</w:t>
      </w:r>
      <w:r w:rsidRPr="00EF4DEF">
        <w:rPr>
          <w:rFonts w:asciiTheme="majorHAnsi" w:hAnsiTheme="majorHAnsi" w:cstheme="majorHAnsi"/>
          <w:color w:val="000000"/>
        </w:rPr>
        <w:t>;</w:t>
      </w:r>
    </w:p>
    <w:p w14:paraId="2D92FD5B" w14:textId="77777777" w:rsidR="00372AED" w:rsidRPr="00EF4DEF" w:rsidRDefault="007856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2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załącznik nr 2 – Wzór wniosku o przyznanie Grantu na prace przedwdrożeniowe w ramach projektu „</w:t>
      </w:r>
      <w:r w:rsidRPr="00EF4DEF">
        <w:rPr>
          <w:rFonts w:asciiTheme="majorHAnsi" w:hAnsiTheme="majorHAnsi" w:cstheme="majorHAnsi"/>
        </w:rPr>
        <w:t>Science4Business - Nauka dla Biznesu</w:t>
      </w:r>
      <w:r w:rsidRPr="00EF4DEF">
        <w:rPr>
          <w:rFonts w:asciiTheme="majorHAnsi" w:hAnsiTheme="majorHAnsi" w:cstheme="majorHAnsi"/>
          <w:color w:val="000000"/>
        </w:rPr>
        <w:t>”;</w:t>
      </w:r>
    </w:p>
    <w:p w14:paraId="7B0E5FE6" w14:textId="77777777" w:rsidR="00372AED" w:rsidRPr="00EF4DEF" w:rsidRDefault="007856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3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Załącznik nr 3 – Karta oceny formalnej wniosku o przyznanie Grantu na prace przedwdrożeniowe w ramach projektu „</w:t>
      </w:r>
      <w:r w:rsidRPr="00EF4DEF">
        <w:rPr>
          <w:rFonts w:asciiTheme="majorHAnsi" w:hAnsiTheme="majorHAnsi" w:cstheme="majorHAnsi"/>
        </w:rPr>
        <w:t>Science4Business - Nauka dla Biznesu</w:t>
      </w:r>
      <w:r w:rsidRPr="00EF4DEF">
        <w:rPr>
          <w:rFonts w:asciiTheme="majorHAnsi" w:hAnsiTheme="majorHAnsi" w:cstheme="majorHAnsi"/>
          <w:color w:val="000000"/>
        </w:rPr>
        <w:t>”;</w:t>
      </w:r>
    </w:p>
    <w:p w14:paraId="71820492" w14:textId="77777777" w:rsidR="00372AED" w:rsidRPr="00EF4DEF" w:rsidRDefault="007856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59" w:lineRule="auto"/>
        <w:ind w:left="543" w:right="111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załącznik nr 4 – Karta oceny merytorycznej wniosku o przyznanie Grantu na prace przedwdrożeniowe w ramach projektu „</w:t>
      </w:r>
      <w:r w:rsidRPr="00EF4DEF">
        <w:rPr>
          <w:rFonts w:asciiTheme="majorHAnsi" w:hAnsiTheme="majorHAnsi" w:cstheme="majorHAnsi"/>
        </w:rPr>
        <w:t>Science4Business - Nauka dla Biznesu</w:t>
      </w:r>
      <w:r w:rsidRPr="00EF4DEF">
        <w:rPr>
          <w:rFonts w:asciiTheme="majorHAnsi" w:hAnsiTheme="majorHAnsi" w:cstheme="majorHAnsi"/>
          <w:color w:val="000000"/>
        </w:rPr>
        <w:t>”;</w:t>
      </w:r>
    </w:p>
    <w:p w14:paraId="23F6455C" w14:textId="77777777" w:rsidR="00372AED" w:rsidRPr="00EF4DEF" w:rsidRDefault="007856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line="266" w:lineRule="auto"/>
        <w:ind w:left="543" w:hanging="361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załącznik nr 5 – Wzór Sprawozdania z realizacji Projektu Grantowego w ramach projektu</w:t>
      </w:r>
    </w:p>
    <w:p w14:paraId="39CF98B0" w14:textId="77777777" w:rsidR="00372AED" w:rsidRPr="00EF4DEF" w:rsidRDefault="007856BB">
      <w:pPr>
        <w:pBdr>
          <w:top w:val="nil"/>
          <w:left w:val="nil"/>
          <w:bottom w:val="nil"/>
          <w:right w:val="nil"/>
          <w:between w:val="nil"/>
        </w:pBdr>
        <w:spacing w:before="21"/>
        <w:ind w:left="543"/>
        <w:jc w:val="both"/>
        <w:rPr>
          <w:rFonts w:asciiTheme="majorHAnsi" w:hAnsiTheme="majorHAnsi" w:cstheme="majorHAnsi"/>
          <w:color w:val="000000"/>
        </w:rPr>
      </w:pPr>
      <w:r w:rsidRPr="00EF4DEF">
        <w:rPr>
          <w:rFonts w:asciiTheme="majorHAnsi" w:hAnsiTheme="majorHAnsi" w:cstheme="majorHAnsi"/>
          <w:color w:val="000000"/>
        </w:rPr>
        <w:t>„</w:t>
      </w:r>
      <w:r w:rsidRPr="00EF4DEF">
        <w:rPr>
          <w:rFonts w:asciiTheme="majorHAnsi" w:hAnsiTheme="majorHAnsi" w:cstheme="majorHAnsi"/>
        </w:rPr>
        <w:t>Science4Business - Nauka dla Biznesu</w:t>
      </w:r>
      <w:r w:rsidRPr="00EF4DEF">
        <w:rPr>
          <w:rFonts w:asciiTheme="majorHAnsi" w:hAnsiTheme="majorHAnsi" w:cstheme="majorHAnsi"/>
          <w:color w:val="000000"/>
        </w:rPr>
        <w:t>”;</w:t>
      </w:r>
    </w:p>
    <w:p w14:paraId="6C216F9A" w14:textId="77777777" w:rsidR="00372AED" w:rsidRPr="00EF4DEF" w:rsidRDefault="007856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4"/>
        </w:tabs>
        <w:spacing w:before="22" w:line="259" w:lineRule="auto"/>
        <w:ind w:left="543" w:right="113" w:hanging="360"/>
        <w:jc w:val="both"/>
        <w:rPr>
          <w:rFonts w:asciiTheme="majorHAnsi" w:hAnsiTheme="majorHAnsi" w:cstheme="majorHAnsi"/>
        </w:rPr>
      </w:pPr>
      <w:r w:rsidRPr="00EF4DEF">
        <w:rPr>
          <w:rFonts w:asciiTheme="majorHAnsi" w:hAnsiTheme="majorHAnsi" w:cstheme="majorHAnsi"/>
          <w:color w:val="000000"/>
        </w:rPr>
        <w:t>załącznik   nr   6    –    Obowiązek    informacyjny    RODO    na    podstawie    art.    13    RODO*    w Konkursie o przyznanie Grantu na prace przedwdrożeniowe w ramach projektu „</w:t>
      </w:r>
      <w:r w:rsidRPr="00EF4DEF">
        <w:rPr>
          <w:rFonts w:asciiTheme="majorHAnsi" w:hAnsiTheme="majorHAnsi" w:cstheme="majorHAnsi"/>
        </w:rPr>
        <w:t>Science4Business - Nauka dla Biznesu</w:t>
      </w:r>
      <w:r w:rsidRPr="00EF4DEF">
        <w:rPr>
          <w:rFonts w:asciiTheme="majorHAnsi" w:hAnsiTheme="majorHAnsi" w:cstheme="majorHAnsi"/>
          <w:color w:val="000000"/>
        </w:rPr>
        <w:t>”.</w:t>
      </w:r>
    </w:p>
    <w:sectPr w:rsidR="00372AED" w:rsidRPr="00EF4DEF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10" w:h="16840"/>
      <w:pgMar w:top="1680" w:right="1300" w:bottom="280" w:left="1300" w:header="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2E792" w14:textId="77777777" w:rsidR="007856BB" w:rsidRDefault="007856BB">
      <w:r>
        <w:separator/>
      </w:r>
    </w:p>
  </w:endnote>
  <w:endnote w:type="continuationSeparator" w:id="0">
    <w:p w14:paraId="06D0F299" w14:textId="77777777" w:rsidR="007856BB" w:rsidRDefault="00785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78901" w14:textId="77777777" w:rsidR="007856BB" w:rsidRDefault="007856B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31D11" w14:textId="77777777" w:rsidR="007856BB" w:rsidRDefault="007856B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BB80F" w14:textId="77777777" w:rsidR="007856BB" w:rsidRDefault="007856B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5CE5E" w14:textId="77777777" w:rsidR="007856BB" w:rsidRDefault="007856BB">
      <w:r>
        <w:separator/>
      </w:r>
    </w:p>
  </w:footnote>
  <w:footnote w:type="continuationSeparator" w:id="0">
    <w:p w14:paraId="4ED7475A" w14:textId="77777777" w:rsidR="007856BB" w:rsidRDefault="007856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D8CFB" w14:textId="77777777" w:rsidR="007856BB" w:rsidRDefault="007856B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EAB13" w14:textId="77777777" w:rsidR="00372AED" w:rsidRDefault="007856BB">
    <w:pPr>
      <w:widowControl/>
      <w:jc w:val="center"/>
      <w:rPr>
        <w:rFonts w:ascii="Arial" w:eastAsia="Arial" w:hAnsi="Arial" w:cs="Arial"/>
        <w:color w:val="000000"/>
      </w:rPr>
    </w:pPr>
    <w:r>
      <w:rPr>
        <w:rFonts w:ascii="Times New Roman" w:eastAsia="Times New Roman" w:hAnsi="Times New Roman" w:cs="Times New Roman"/>
        <w:noProof/>
        <w:sz w:val="24"/>
        <w:szCs w:val="24"/>
      </w:rPr>
      <w:drawing>
        <wp:inline distT="114300" distB="114300" distL="114300" distR="114300" wp14:anchorId="1F6CE73F" wp14:editId="2FF012CF">
          <wp:extent cx="5760410" cy="57150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410" cy="571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9C5F064" w14:textId="77777777" w:rsidR="00372AED" w:rsidRDefault="00372AED">
    <w:pPr>
      <w:pBdr>
        <w:top w:val="nil"/>
        <w:left w:val="nil"/>
        <w:bottom w:val="nil"/>
        <w:right w:val="nil"/>
        <w:between w:val="nil"/>
      </w:pBdr>
      <w:rPr>
        <w:rFonts w:ascii="Arial" w:eastAsia="Arial" w:hAnsi="Arial" w:cs="Arial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231A8" w14:textId="77777777" w:rsidR="007856BB" w:rsidRDefault="007856B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354AF"/>
    <w:multiLevelType w:val="multilevel"/>
    <w:tmpl w:val="07CEDBDA"/>
    <w:lvl w:ilvl="0">
      <w:start w:val="1"/>
      <w:numFmt w:val="decimal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1" w15:restartNumberingAfterBreak="0">
    <w:nsid w:val="2CAA3774"/>
    <w:multiLevelType w:val="multilevel"/>
    <w:tmpl w:val="2DE04D30"/>
    <w:lvl w:ilvl="0">
      <w:start w:val="1"/>
      <w:numFmt w:val="decimal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2" w15:restartNumberingAfterBreak="0">
    <w:nsid w:val="316A7F6F"/>
    <w:multiLevelType w:val="multilevel"/>
    <w:tmpl w:val="4830E556"/>
    <w:lvl w:ilvl="0">
      <w:start w:val="1"/>
      <w:numFmt w:val="decimal"/>
      <w:lvlText w:val="%1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3" w15:restartNumberingAfterBreak="0">
    <w:nsid w:val="41BB5BD7"/>
    <w:multiLevelType w:val="multilevel"/>
    <w:tmpl w:val="02CA561A"/>
    <w:lvl w:ilvl="0">
      <w:start w:val="1"/>
      <w:numFmt w:val="lowerLetter"/>
      <w:lvlText w:val="%1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4" w15:restartNumberingAfterBreak="0">
    <w:nsid w:val="4E4614B3"/>
    <w:multiLevelType w:val="multilevel"/>
    <w:tmpl w:val="94005232"/>
    <w:lvl w:ilvl="0">
      <w:start w:val="1"/>
      <w:numFmt w:val="lowerLetter"/>
      <w:lvlText w:val="%1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5" w15:restartNumberingAfterBreak="0">
    <w:nsid w:val="519227D4"/>
    <w:multiLevelType w:val="multilevel"/>
    <w:tmpl w:val="6E6A5E7A"/>
    <w:lvl w:ilvl="0">
      <w:start w:val="1"/>
      <w:numFmt w:val="decimal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6" w15:restartNumberingAfterBreak="0">
    <w:nsid w:val="545053DA"/>
    <w:multiLevelType w:val="multilevel"/>
    <w:tmpl w:val="32F418B0"/>
    <w:lvl w:ilvl="0">
      <w:start w:val="1"/>
      <w:numFmt w:val="decimal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7" w15:restartNumberingAfterBreak="0">
    <w:nsid w:val="6C9C59A4"/>
    <w:multiLevelType w:val="multilevel"/>
    <w:tmpl w:val="750A7FBA"/>
    <w:lvl w:ilvl="0">
      <w:start w:val="1"/>
      <w:numFmt w:val="decimal"/>
      <w:lvlText w:val="%1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8" w15:restartNumberingAfterBreak="0">
    <w:nsid w:val="6CA25993"/>
    <w:multiLevelType w:val="multilevel"/>
    <w:tmpl w:val="567E70F8"/>
    <w:lvl w:ilvl="0">
      <w:start w:val="1"/>
      <w:numFmt w:val="decimal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9" w15:restartNumberingAfterBreak="0">
    <w:nsid w:val="6D1E5C05"/>
    <w:multiLevelType w:val="multilevel"/>
    <w:tmpl w:val="DCC4D552"/>
    <w:lvl w:ilvl="0">
      <w:start w:val="1"/>
      <w:numFmt w:val="decimal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10" w15:restartNumberingAfterBreak="0">
    <w:nsid w:val="6F375DEF"/>
    <w:multiLevelType w:val="multilevel"/>
    <w:tmpl w:val="C4720470"/>
    <w:lvl w:ilvl="0">
      <w:start w:val="1"/>
      <w:numFmt w:val="decimal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11" w15:restartNumberingAfterBreak="0">
    <w:nsid w:val="70565B43"/>
    <w:multiLevelType w:val="multilevel"/>
    <w:tmpl w:val="CFB4B9EC"/>
    <w:lvl w:ilvl="0">
      <w:start w:val="1"/>
      <w:numFmt w:val="decimal"/>
      <w:lvlText w:val="%1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num w:numId="1" w16cid:durableId="2080860159">
    <w:abstractNumId w:val="7"/>
  </w:num>
  <w:num w:numId="2" w16cid:durableId="945886056">
    <w:abstractNumId w:val="5"/>
  </w:num>
  <w:num w:numId="3" w16cid:durableId="224802247">
    <w:abstractNumId w:val="1"/>
  </w:num>
  <w:num w:numId="4" w16cid:durableId="1186939858">
    <w:abstractNumId w:val="4"/>
  </w:num>
  <w:num w:numId="5" w16cid:durableId="1327631352">
    <w:abstractNumId w:val="3"/>
  </w:num>
  <w:num w:numId="6" w16cid:durableId="1350063986">
    <w:abstractNumId w:val="10"/>
  </w:num>
  <w:num w:numId="7" w16cid:durableId="1675761364">
    <w:abstractNumId w:val="11"/>
  </w:num>
  <w:num w:numId="8" w16cid:durableId="53282051">
    <w:abstractNumId w:val="6"/>
  </w:num>
  <w:num w:numId="9" w16cid:durableId="2036152956">
    <w:abstractNumId w:val="9"/>
  </w:num>
  <w:num w:numId="10" w16cid:durableId="579364640">
    <w:abstractNumId w:val="8"/>
  </w:num>
  <w:num w:numId="11" w16cid:durableId="1155488341">
    <w:abstractNumId w:val="2"/>
  </w:num>
  <w:num w:numId="12" w16cid:durableId="637565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AED"/>
    <w:rsid w:val="000C2E68"/>
    <w:rsid w:val="002314E0"/>
    <w:rsid w:val="0028133C"/>
    <w:rsid w:val="003404AC"/>
    <w:rsid w:val="00372AED"/>
    <w:rsid w:val="0038411D"/>
    <w:rsid w:val="00603141"/>
    <w:rsid w:val="0066011C"/>
    <w:rsid w:val="0077029E"/>
    <w:rsid w:val="007856BB"/>
    <w:rsid w:val="00A33DAF"/>
    <w:rsid w:val="00BF7412"/>
    <w:rsid w:val="00CD4FAA"/>
    <w:rsid w:val="00EB548F"/>
    <w:rsid w:val="00EF4DEF"/>
    <w:rsid w:val="00F7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24CDD"/>
  <w15:docId w15:val="{ECB7956F-AEFB-4A1A-AE8B-1A88FD434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pBdr>
        <w:top w:val="nil"/>
        <w:left w:val="nil"/>
        <w:bottom w:val="nil"/>
        <w:right w:val="nil"/>
        <w:between w:val="nil"/>
      </w:pBdr>
      <w:spacing w:before="180"/>
      <w:ind w:left="582" w:right="581"/>
      <w:jc w:val="center"/>
      <w:outlineLvl w:val="0"/>
    </w:pPr>
    <w:rPr>
      <w:b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komentarza">
    <w:name w:val="annotation text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link w:val="TekstdymkaZnak"/>
    <w:uiPriority w:val="99"/>
    <w:semiHidden/>
    <w:unhideWhenUsed/>
    <w:rsid w:val="000A677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6778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9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903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ED39A6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967ED0"/>
    <w:pPr>
      <w:widowControl/>
    </w:pPr>
  </w:style>
  <w:style w:type="paragraph" w:styleId="Podtytu">
    <w:name w:val="Subtitle"/>
    <w:basedOn w:val="Normalny"/>
    <w:next w:val="Normalny"/>
    <w:uiPriority w:val="11"/>
    <w:qFormat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7856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56BB"/>
  </w:style>
  <w:style w:type="paragraph" w:styleId="Stopka">
    <w:name w:val="footer"/>
    <w:basedOn w:val="Normalny"/>
    <w:link w:val="StopkaZnak"/>
    <w:uiPriority w:val="99"/>
    <w:unhideWhenUsed/>
    <w:rsid w:val="007856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56BB"/>
  </w:style>
  <w:style w:type="character" w:styleId="Nierozpoznanawzmianka">
    <w:name w:val="Unresolved Mention"/>
    <w:basedOn w:val="Domylnaczcionkaakapitu"/>
    <w:uiPriority w:val="99"/>
    <w:semiHidden/>
    <w:unhideWhenUsed/>
    <w:rsid w:val="003404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bip.nauka.gov.pl/inkubator-innowacyjnosci-4-0/" TargetMode="External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http://www.bip.nauka.gov.pl/inkubator-innowacyjnosci-4-0/" TargetMode="External"/><Relationship Id="rId17" Type="http://schemas.openxmlformats.org/officeDocument/2006/relationships/hyperlink" Target="https://www.gov.pl/web/nauka/wyniki-naboru-na-partnerow-do-realizacji-zadania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forms.office.com/e/wHLestZX4P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funduszeeuropejskie.gov.pl/media/77628/1_wytyczne_wz_kwalifikowalnosci_wydatkow.pdf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mailto:ctt@sggw.edu.pl" TargetMode="External"/><Relationship Id="rId23" Type="http://schemas.openxmlformats.org/officeDocument/2006/relationships/footer" Target="footer3.xml"/><Relationship Id="rId10" Type="http://schemas.openxmlformats.org/officeDocument/2006/relationships/hyperlink" Target="https://www.funduszeeuropejskie.gov.pl/strony/o-funduszach/dokumenty/wytyczne-dotyczace-kwalifikowalnosci-2021-2027/" TargetMode="External"/><Relationship Id="rId19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yperlink" Target="https://www.funduszeeuropejskie.gov.pl/media/77628/1_wytyczne_wz_kwalifikowalnosci_wydatkow.pdf" TargetMode="External"/><Relationship Id="rId14" Type="http://schemas.openxmlformats.org/officeDocument/2006/relationships/hyperlink" Target="http://www.bip.nauka.gov.pl/inkubator-innowacyjnosci-4-0/" TargetMode="External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acajklgfU78cN+QlaQtdACCpRw==">CgMxLjA4AGopChRzdWdnZXN0Lmd6eGd1cjg0a3J4eRIRS3J6eXN6dG9mIFJ6ZcWEY2FqKQoUc3VnZ2VzdC5leG82ZDZnd2x4cGESEUtyenlzenRvZiBSemXFhGNhaikKFHN1Z2dlc3QuOWhiM2h4azN3M3AxEhFLcnp5c3p0b2YgUnplxYRjYXIhMUFtRmM0OTREVG1TSDFWSW9IMktWRmI4Wk11Q2JOOTVQ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49BA1A87-39FC-4596-9E21-617C22C1A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11</Pages>
  <Words>4686</Words>
  <Characters>28117</Characters>
  <Application>Microsoft Office Word</Application>
  <DocSecurity>0</DocSecurity>
  <Lines>234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Krawczyk Izabela</dc:creator>
  <cp:lastModifiedBy>Dayana Nápoles Grabek</cp:lastModifiedBy>
  <cp:revision>12</cp:revision>
  <dcterms:created xsi:type="dcterms:W3CDTF">2025-09-29T06:30:00Z</dcterms:created>
  <dcterms:modified xsi:type="dcterms:W3CDTF">2025-10-21T08:01:00Z</dcterms:modified>
</cp:coreProperties>
</file>